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C7534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>FOR FIELD INSTRUMENTS - W0</w:t>
            </w:r>
            <w:r w:rsidR="00C7534A">
              <w:rPr>
                <w:rFonts w:ascii="Arial" w:hAnsi="Arial" w:cs="Arial"/>
                <w:b/>
                <w:bCs/>
                <w:sz w:val="32"/>
                <w:szCs w:val="32"/>
              </w:rPr>
              <w:t>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9109A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531C8F" w:rsidP="006E04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691D52">
              <w:rPr>
                <w:rFonts w:ascii="Arial" w:hAnsi="Arial" w:cs="Arial"/>
                <w:szCs w:val="20"/>
              </w:rPr>
              <w:t>. 202</w:t>
            </w:r>
            <w:r w:rsidR="006E0475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A6A10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52" w:rsidRPr="00FB14E1" w:rsidRDefault="00691D5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6A6A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52" w:rsidRPr="0045129D" w:rsidRDefault="00691D52" w:rsidP="00531C8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459A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7534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F0Z-707581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691D52" w:rsidRPr="00FB14E1" w:rsidRDefault="00691D5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91D52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91D52" w:rsidRPr="003B1A41" w:rsidRDefault="00691D5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290A48" w:rsidRDefault="00EA79A0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90C2F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C90C2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C90C2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C90C2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C90C2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C7534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28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BK-W0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1C" w:rsidRDefault="004C771C" w:rsidP="00053F8D">
      <w:r>
        <w:separator/>
      </w:r>
    </w:p>
  </w:endnote>
  <w:endnote w:type="continuationSeparator" w:id="0">
    <w:p w:rsidR="004C771C" w:rsidRDefault="004C771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1C" w:rsidRDefault="004C771C" w:rsidP="00053F8D">
      <w:r>
        <w:separator/>
      </w:r>
    </w:p>
  </w:footnote>
  <w:footnote w:type="continuationSeparator" w:id="0">
    <w:p w:rsidR="004C771C" w:rsidRDefault="004C771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2FE59BE5" wp14:editId="169A65B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C3D59A0" wp14:editId="18A42CC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6D56F6CE" wp14:editId="3C472A3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C7534A" w:rsidRPr="00C7534A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W028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12BFAC5" wp14:editId="5F40092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90C2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90C2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1F13DD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91D5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459A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C7534A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W02</w:t>
          </w:r>
          <w:r w:rsidR="00045881"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13DD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C771C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0475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C2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65D5-F272-405E-99D3-A898076D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4347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6</cp:revision>
  <cp:lastPrinted>2022-05-23T12:52:00Z</cp:lastPrinted>
  <dcterms:created xsi:type="dcterms:W3CDTF">2021-11-13T13:24:00Z</dcterms:created>
  <dcterms:modified xsi:type="dcterms:W3CDTF">2022-05-23T12:53:00Z</dcterms:modified>
</cp:coreProperties>
</file>