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8E2674">
            <w:pPr>
              <w:widowControl w:val="0"/>
              <w:jc w:val="center"/>
              <w:rPr>
                <w:rFonts w:ascii="Arial" w:hAnsi="Arial" w:cs="Arial"/>
                <w:b/>
                <w:bCs/>
                <w:sz w:val="32"/>
                <w:szCs w:val="32"/>
              </w:rPr>
            </w:pPr>
            <w:r>
              <w:rPr>
                <w:rFonts w:ascii="Arial" w:hAnsi="Arial" w:cs="Arial"/>
                <w:b/>
                <w:bCs/>
                <w:sz w:val="32"/>
                <w:szCs w:val="32"/>
              </w:rPr>
              <w:t xml:space="preserve">PMR FOR </w:t>
            </w:r>
            <w:r w:rsidR="008E2674">
              <w:rPr>
                <w:rFonts w:ascii="Arial" w:hAnsi="Arial" w:cs="Arial"/>
                <w:b/>
                <w:bCs/>
                <w:sz w:val="32"/>
                <w:szCs w:val="32"/>
              </w:rPr>
              <w:t>MANUAL VALVES</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943E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1943E4" w:rsidRPr="000E2E1E" w:rsidRDefault="001943E4" w:rsidP="00B173B8">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1943E4" w:rsidRPr="000E2E1E" w:rsidRDefault="001943E4" w:rsidP="00B173B8">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1943E4" w:rsidRPr="000E2E1E" w:rsidRDefault="001943E4" w:rsidP="00B173B8">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1943E4" w:rsidRPr="00C66E37" w:rsidRDefault="001943E4" w:rsidP="00B173B8">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943E4" w:rsidRPr="000E2E1E" w:rsidRDefault="001943E4" w:rsidP="00B173B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1943E4" w:rsidRPr="002918D6" w:rsidRDefault="001943E4" w:rsidP="00B173B8">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1943E4" w:rsidRPr="000E2E1E" w:rsidRDefault="001943E4" w:rsidP="007E6714">
            <w:pPr>
              <w:widowControl w:val="0"/>
              <w:bidi w:val="0"/>
              <w:spacing w:before="20" w:after="20"/>
              <w:ind w:left="180"/>
              <w:jc w:val="center"/>
              <w:rPr>
                <w:rFonts w:ascii="Arial" w:hAnsi="Arial" w:cs="Arial"/>
                <w:color w:val="000000"/>
                <w:szCs w:val="20"/>
              </w:rPr>
            </w:pPr>
          </w:p>
        </w:tc>
      </w:tr>
      <w:tr w:rsidR="003230B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230B7" w:rsidRPr="000E2E1E" w:rsidRDefault="001514B2" w:rsidP="009700CE">
            <w:pPr>
              <w:widowControl w:val="0"/>
              <w:bidi w:val="0"/>
              <w:spacing w:before="20" w:after="20"/>
              <w:ind w:left="-64" w:right="-115"/>
              <w:jc w:val="center"/>
              <w:rPr>
                <w:rFonts w:ascii="Arial" w:hAnsi="Arial" w:cs="Arial"/>
                <w:szCs w:val="20"/>
              </w:rPr>
            </w:pPr>
            <w:r>
              <w:rPr>
                <w:rFonts w:ascii="Arial" w:hAnsi="Arial" w:cs="Arial"/>
                <w:szCs w:val="20"/>
              </w:rPr>
              <w:t>APR</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230B7" w:rsidRPr="00C66E37" w:rsidRDefault="003230B7" w:rsidP="009700C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230B7" w:rsidRPr="002918D6" w:rsidRDefault="003230B7"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E6714" w:rsidRPr="00FB14E1" w:rsidRDefault="007E6714" w:rsidP="005B5AC2">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5B5AC2">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8E2674" w:rsidRPr="008E2674">
              <w:rPr>
                <w:rFonts w:asciiTheme="minorBidi" w:hAnsiTheme="minorBidi" w:cstheme="minorBidi"/>
                <w:b/>
                <w:bCs/>
                <w:color w:val="000000"/>
                <w:sz w:val="17"/>
                <w:szCs w:val="17"/>
              </w:rPr>
              <w:t>F0Z-707476</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E6714" w:rsidRDefault="007E6714" w:rsidP="00956369">
            <w:pPr>
              <w:widowControl w:val="0"/>
              <w:bidi w:val="0"/>
              <w:spacing w:before="60" w:after="60"/>
              <w:ind w:hanging="57"/>
              <w:rPr>
                <w:rFonts w:asciiTheme="minorBidi" w:hAnsiTheme="minorBidi" w:cstheme="minorBidi"/>
                <w:b/>
                <w:bCs/>
                <w:color w:val="000000"/>
                <w:sz w:val="14"/>
                <w:szCs w:val="14"/>
              </w:rPr>
            </w:pPr>
          </w:p>
          <w:p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2D41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2D41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D419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D419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1514B2">
          <w:rPr>
            <w:webHidden/>
          </w:rPr>
          <w:t>4</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1514B2">
          <w:rPr>
            <w:webHidden/>
          </w:rPr>
          <w:t>5</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1514B2">
          <w:rPr>
            <w:webHidden/>
          </w:rPr>
          <w:t>5</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1514B2">
          <w:rPr>
            <w:webHidden/>
          </w:rPr>
          <w:t>5</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1514B2">
          <w:rPr>
            <w:webHidden/>
          </w:rPr>
          <w:t>6</w:t>
        </w:r>
        <w:r w:rsidR="00F60889">
          <w:rPr>
            <w:webHidden/>
          </w:rPr>
          <w:fldChar w:fldCharType="end"/>
        </w:r>
      </w:hyperlink>
    </w:p>
    <w:p w:rsidR="00F60889" w:rsidRDefault="00CE1DB4"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1514B2">
          <w:rPr>
            <w:webHidden/>
          </w:rPr>
          <w:t>6</w:t>
        </w:r>
        <w:r w:rsidR="00F60889">
          <w:rPr>
            <w:webHidden/>
          </w:rPr>
          <w:fldChar w:fldCharType="end"/>
        </w:r>
      </w:hyperlink>
    </w:p>
    <w:p w:rsidR="00F60889" w:rsidRDefault="00CE1DB4"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1514B2">
          <w:rPr>
            <w:webHidden/>
          </w:rPr>
          <w:t>7</w:t>
        </w:r>
        <w:r w:rsidR="00F60889">
          <w:rPr>
            <w:webHidden/>
          </w:rPr>
          <w:fldChar w:fldCharType="end"/>
        </w:r>
      </w:hyperlink>
    </w:p>
    <w:p w:rsidR="00F60889" w:rsidRDefault="00CE1DB4"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1514B2">
          <w:rPr>
            <w:webHidden/>
          </w:rPr>
          <w:t>7</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1514B2">
          <w:rPr>
            <w:webHidden/>
          </w:rPr>
          <w:t>7</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1514B2">
          <w:rPr>
            <w:webHidden/>
          </w:rPr>
          <w:t>8</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1514B2">
          <w:rPr>
            <w:webHidden/>
          </w:rPr>
          <w:t>8</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1514B2">
          <w:rPr>
            <w:webHidden/>
          </w:rPr>
          <w:t>8</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1514B2">
          <w:rPr>
            <w:webHidden/>
          </w:rPr>
          <w:t>9</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1514B2">
          <w:rPr>
            <w:webHidden/>
          </w:rPr>
          <w:t>9</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1514B2">
          <w:rPr>
            <w:webHidden/>
          </w:rPr>
          <w:t>10</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1514B2">
          <w:rPr>
            <w:webHidden/>
          </w:rPr>
          <w:t>10</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1514B2">
          <w:rPr>
            <w:webHidden/>
          </w:rPr>
          <w:t>11</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1514B2">
          <w:rPr>
            <w:webHidden/>
          </w:rPr>
          <w:t>11</w:t>
        </w:r>
        <w:r w:rsidR="00F60889">
          <w:rPr>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1514B2">
          <w:rPr>
            <w:webHidden/>
          </w:rPr>
          <w:t>16</w:t>
        </w:r>
        <w:r w:rsidR="00F60889">
          <w:rPr>
            <w:webHidden/>
          </w:rPr>
          <w:fldChar w:fldCharType="end"/>
        </w:r>
      </w:hyperlink>
    </w:p>
    <w:p w:rsidR="00F60889" w:rsidRDefault="00CE1DB4">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1514B2">
          <w:rPr>
            <w:noProof/>
            <w:webHidden/>
          </w:rPr>
          <w:t>16</w:t>
        </w:r>
        <w:r w:rsidR="00F60889">
          <w:rPr>
            <w:noProof/>
            <w:webHidden/>
          </w:rPr>
          <w:fldChar w:fldCharType="end"/>
        </w:r>
      </w:hyperlink>
    </w:p>
    <w:p w:rsidR="00F60889" w:rsidRDefault="00CE1DB4">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1514B2">
          <w:rPr>
            <w:webHidden/>
          </w:rPr>
          <w:t>17</w:t>
        </w:r>
        <w:r w:rsidR="00F60889">
          <w:rPr>
            <w:webHidden/>
          </w:rPr>
          <w:fldChar w:fldCharType="end"/>
        </w:r>
      </w:hyperlink>
    </w:p>
    <w:p w:rsidR="00F60889" w:rsidRDefault="00CE1DB4">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1514B2">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8E2674">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8E2674">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rsidR="00727CED" w:rsidRDefault="00727CED" w:rsidP="008E267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rsidR="00727CED" w:rsidRDefault="00727CED" w:rsidP="008E267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t>Other items</w:t>
      </w:r>
      <w:bookmarkEnd w:id="23"/>
      <w:bookmarkEnd w:id="24"/>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lastRenderedPageBreak/>
        <w:t>VENDOR DOCUMENTATION REQUIREMENTS &amp; SCHEDULE</w:t>
      </w:r>
      <w:bookmarkEnd w:id="28"/>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3" w:name="_Toc89620035"/>
      <w:r w:rsidRPr="00411E6D">
        <w:rPr>
          <w:rFonts w:eastAsiaTheme="majorEastAsia"/>
        </w:rPr>
        <w:lastRenderedPageBreak/>
        <w:t>ATTACHMENT 1</w:t>
      </w:r>
      <w:bookmarkEnd w:id="33"/>
    </w:p>
    <w:p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5B5AC2">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bookmarkStart w:id="35" w:name="_GoBack"/>
            <w:bookmarkEnd w:id="35"/>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8E2674">
            <w:pPr>
              <w:pStyle w:val="BodyText"/>
              <w:jc w:val="right"/>
              <w:rPr>
                <w:rFonts w:asciiTheme="minorBidi" w:hAnsiTheme="minorBidi" w:cstheme="minorBidi"/>
                <w:szCs w:val="20"/>
              </w:rPr>
            </w:pPr>
            <w:r w:rsidRPr="003230B7">
              <w:rPr>
                <w:rFonts w:asciiTheme="minorBidi" w:hAnsiTheme="minorBidi" w:cstheme="minorBidi"/>
                <w:szCs w:val="20"/>
              </w:rPr>
              <w:t>BK-W018S-PEDCO-110-PI-MT-000</w:t>
            </w:r>
            <w:r w:rsidR="008E2674">
              <w:rPr>
                <w:rFonts w:asciiTheme="minorBidi" w:hAnsiTheme="minorBidi" w:cstheme="minorBidi"/>
                <w:szCs w:val="20"/>
              </w:rPr>
              <w:t>4</w:t>
            </w:r>
          </w:p>
        </w:tc>
        <w:tc>
          <w:tcPr>
            <w:tcW w:w="4618" w:type="dxa"/>
            <w:vAlign w:val="center"/>
          </w:tcPr>
          <w:p w:rsidR="00727CED" w:rsidRPr="003230B7" w:rsidRDefault="002D4198" w:rsidP="008E267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1842266E" wp14:editId="3CC8F98A">
                      <wp:simplePos x="0" y="0"/>
                      <wp:positionH relativeFrom="column">
                        <wp:posOffset>2243455</wp:posOffset>
                      </wp:positionH>
                      <wp:positionV relativeFrom="paragraph">
                        <wp:posOffset>-41910</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2D4198" w:rsidRPr="000A23FA" w:rsidRDefault="002D4198" w:rsidP="002D4198">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76.65pt;margin-top:-3.3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lPZwIAAB4FAAAOAAAAZHJzL2Uyb0RvYy54bWysVE1PGzEQvVfqf7B8L5uEgm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59nF+eyMM0lX&#10;p+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PNuiMTfAAAACQEAAA8AAABkcnMvZG93&#10;bnJldi54bWxMj8tOwzAQRfdI/IM1SGxQa5O0EYQ4FeXRrtuyYOnGQxIRj6PYadO/Z1jBcjRH955b&#10;rCbXiRMOofWk4X6uQCBV3rZUa/g4vM8eQIRoyJrOE2q4YIBVeX1VmNz6M+3wtI+14BAKudHQxNjn&#10;UoaqQWfC3PdI/PvygzORz6GWdjBnDnedTJTKpDMtcUNjenxpsPrej07D27bbrFO7SV7VYbf+jNvL&#10;ePfYan17Mz0/gYg4xT8YfvVZHUp2OvqRbBCdhnSZpoxqmGUZCAYWieItRw1LtQBZFvL/gvIHAAD/&#10;/wMAUEsBAi0AFAAGAAgAAAAhALaDOJL+AAAA4QEAABMAAAAAAAAAAAAAAAAAAAAAAFtDb250ZW50&#10;X1R5cGVzXS54bWxQSwECLQAUAAYACAAAACEAOP0h/9YAAACUAQAACwAAAAAAAAAAAAAAAAAvAQAA&#10;X3JlbHMvLnJlbHNQSwECLQAUAAYACAAAACEACzHZT2cCAAAeBQAADgAAAAAAAAAAAAAAAAAuAgAA&#10;ZHJzL2Uyb0RvYy54bWxQSwECLQAUAAYACAAAACEA826IxN8AAAAJAQAADwAAAAAAAAAAAAAAAADB&#10;BAAAZHJzL2Rvd25yZXYueG1sUEsFBgAAAAAEAAQA8wAAAM0FAAAAAA==&#10;" fillcolor="white [3201]" strokecolor="black [3200]" strokeweight="0">
                      <v:textbox inset="0,0,0,0">
                        <w:txbxContent>
                          <w:p w:rsidR="002D4198" w:rsidRPr="000A23FA" w:rsidRDefault="002D4198" w:rsidP="002D4198">
                            <w:pPr>
                              <w:jc w:val="center"/>
                              <w:rPr>
                                <w:sz w:val="18"/>
                                <w:szCs w:val="22"/>
                              </w:rPr>
                            </w:pPr>
                            <w:r w:rsidRPr="000A23FA">
                              <w:rPr>
                                <w:sz w:val="18"/>
                                <w:szCs w:val="22"/>
                              </w:rPr>
                              <w:t>D01</w:t>
                            </w:r>
                          </w:p>
                        </w:txbxContent>
                      </v:textbox>
                    </v:shape>
                  </w:pict>
                </mc:Fallback>
              </mc:AlternateContent>
            </w:r>
            <w:r w:rsidR="00727CED" w:rsidRPr="003230B7">
              <w:rPr>
                <w:rFonts w:asciiTheme="minorBidi" w:hAnsiTheme="minorBidi" w:cstheme="minorBidi"/>
                <w:sz w:val="22"/>
                <w:szCs w:val="22"/>
              </w:rPr>
              <w:t xml:space="preserve">MTO For </w:t>
            </w:r>
            <w:r w:rsidR="008E2674">
              <w:rPr>
                <w:rFonts w:asciiTheme="minorBidi" w:hAnsiTheme="minorBidi" w:cstheme="minorBidi"/>
                <w:sz w:val="22"/>
                <w:szCs w:val="22"/>
              </w:rPr>
              <w:t>Manual Valves</w:t>
            </w:r>
            <w:r w:rsidR="00727CED" w:rsidRPr="003230B7">
              <w:rPr>
                <w:rFonts w:asciiTheme="minorBidi" w:hAnsiTheme="minorBidi" w:cstheme="minorBidi"/>
                <w:sz w:val="22"/>
                <w:szCs w:val="22"/>
              </w:rPr>
              <w:t xml:space="preserve"> – W018S</w:t>
            </w:r>
          </w:p>
        </w:tc>
        <w:tc>
          <w:tcPr>
            <w:tcW w:w="914" w:type="dxa"/>
            <w:vAlign w:val="center"/>
          </w:tcPr>
          <w:p w:rsidR="00727CED" w:rsidRPr="003230B7" w:rsidRDefault="00727CED" w:rsidP="002D4198">
            <w:pPr>
              <w:widowControl w:val="0"/>
              <w:autoSpaceDE w:val="0"/>
              <w:autoSpaceDN w:val="0"/>
              <w:bidi w:val="0"/>
              <w:adjustRightInd w:val="0"/>
              <w:jc w:val="center"/>
              <w:rPr>
                <w:rFonts w:asciiTheme="minorBidi" w:hAnsiTheme="minorBidi" w:cstheme="minorBidi"/>
                <w:color w:val="000000"/>
                <w:sz w:val="22"/>
                <w:szCs w:val="22"/>
              </w:rPr>
            </w:pPr>
            <w:r w:rsidRPr="002D4198">
              <w:rPr>
                <w:rFonts w:asciiTheme="minorBidi" w:hAnsiTheme="minorBidi" w:cstheme="minorBidi"/>
                <w:color w:val="000000"/>
                <w:sz w:val="22"/>
                <w:szCs w:val="22"/>
                <w:highlight w:val="lightGray"/>
              </w:rPr>
              <w:t>D0</w:t>
            </w:r>
            <w:r w:rsidR="002D4198" w:rsidRPr="002D4198">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8E2674" w:rsidP="007E6714">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rsidR="00727CED" w:rsidRPr="008E2966" w:rsidRDefault="003230B7" w:rsidP="008E267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sidR="008E2674">
              <w:rPr>
                <w:rFonts w:asciiTheme="minorBidi" w:hAnsiTheme="minorBidi" w:cstheme="minorBidi"/>
                <w:sz w:val="22"/>
                <w:szCs w:val="22"/>
              </w:rPr>
              <w:t>Manual Valves</w:t>
            </w:r>
          </w:p>
        </w:tc>
        <w:tc>
          <w:tcPr>
            <w:tcW w:w="914" w:type="dxa"/>
            <w:vAlign w:val="center"/>
          </w:tcPr>
          <w:p w:rsidR="00727CED" w:rsidRPr="00555C15" w:rsidRDefault="00727CED" w:rsidP="008E267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8E2674">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91D60">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91D60">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2D4198"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44839FCE" wp14:editId="08966C8B">
                      <wp:simplePos x="0" y="0"/>
                      <wp:positionH relativeFrom="column">
                        <wp:posOffset>2119630</wp:posOffset>
                      </wp:positionH>
                      <wp:positionV relativeFrom="paragraph">
                        <wp:posOffset>-60960</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2D4198" w:rsidRPr="000A23FA" w:rsidRDefault="002D4198" w:rsidP="002D4198">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7" type="#_x0000_t5" style="position:absolute;margin-left:166.9pt;margin-top:-4.8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PVaAIAACUFAAAOAAAAZHJzL2Uyb0RvYy54bWysVE1vGyEQvVfqf0Dcm7W3TdRaWUdWolSR&#10;oiRqUuWMWbBXBYYO2Lvur+/AfjhKox6qXtgB3ny9fcP5RWcN2ysMDbiKz09mnCknoW7cpuLfn64/&#10;fOYsROFqYcCpih9U4BfL9+/OW79QJWzB1AoZBXFh0fqKb2P0i6IIcqusCCfglaNLDWhFpC1uihpF&#10;S9GtKcrZ7KxoAWuPIFUIdHrVX/Jljq+1kvFe66AiMxWn2mJeMa/rtBbLc7HYoPDbRg5liH+oworG&#10;UdIp1JWIgu2w+SOUbSRCAB1PJNgCtG6kyj1QN/PZq24et8Kr3AuRE/xEU/h/YeXd/gFZU1e85MwJ&#10;S7/oJkCQyqjAnrARbmMUKxNPrQ8Lgj/6Bxx2gczUdKfRpi+1w7rM7WHiVnWRSTr8VH4+K085k3T1&#10;8Wz+5TRzXxydPYb4VYFlyah4HHJnVsX+NkRKSvARlvIZx9ohUZGq6+vJVjwY1UO+KU39UQVlDpWV&#10;pS4Nsr0gTdQ/5qk3CmwcIZOLboyZnOZvOZk4Og3Y5Kay2ibH2VuOx2wTOmcEFydH2zjAvzvrHk9l&#10;v+g1mbFbd/ln5vrSyRrqA/1ghF75wcvrhvi9FSE+CCSp01DQ+MZ7WrQBohMGi7Mt4K+3zhOeFEi3&#10;nLU0OhUPP3cCFWfmxpE205yNBo7GejTczl4CMT+nh8HLbJIDRjOaGsE+01SvUha6Ek5SrorLiOPm&#10;MvYjTO+CVKtVhtE8eRFv3aOXKXjiNWnlqXsW6EdRkRrvYBwrsXilqx6bPB2sdhF0k0V35HFgnGYx&#10;S2Z4N9Kwv9xn1PF1W/4GAAD//wMAUEsDBBQABgAIAAAAIQCf6aLL3wAAAAkBAAAPAAAAZHJzL2Rv&#10;d25yZXYueG1sTI9Lb8IwEITvlfofrK3USwU2GNES4qDSB5yBHjiaeJtE9SOKHQj/vtsTve1oRzPf&#10;5KvBWXbGLjbBK5iMBTD0ZTCNrxR8HT5HL8Bi0t5oGzwquGKEVXF/l+vMhIvf4XmfKkYhPmZaQZ1S&#10;m3EeyxqdjuPQoqffd+icTiS7iptOXyjcWT4VYs6dbjw11LrFtxrLn33vFHxs7WYtzWb6Lg679TFt&#10;r/3TolHq8WF4XQJLOKSbGf7wCR0KYjqF3pvIrAIpJaEnBaPFHBgZZmIigZ3oeJ4BL3L+f0HxCwAA&#10;//8DAFBLAQItABQABgAIAAAAIQC2gziS/gAAAOEBAAATAAAAAAAAAAAAAAAAAAAAAABbQ29udGVu&#10;dF9UeXBlc10ueG1sUEsBAi0AFAAGAAgAAAAhADj9If/WAAAAlAEAAAsAAAAAAAAAAAAAAAAALwEA&#10;AF9yZWxzLy5yZWxzUEsBAi0AFAAGAAgAAAAhAD1Yc9VoAgAAJQUAAA4AAAAAAAAAAAAAAAAALgIA&#10;AGRycy9lMm9Eb2MueG1sUEsBAi0AFAAGAAgAAAAhAJ/posvfAAAACQEAAA8AAAAAAAAAAAAAAAAA&#10;wgQAAGRycy9kb3ducmV2LnhtbFBLBQYAAAAABAAEAPMAAADOBQAAAAA=&#10;" fillcolor="white [3201]" strokecolor="black [3200]" strokeweight="0">
                      <v:textbox inset="0,0,0,0">
                        <w:txbxContent>
                          <w:p w:rsidR="002D4198" w:rsidRPr="000A23FA" w:rsidRDefault="002D4198" w:rsidP="002D4198">
                            <w:pPr>
                              <w:jc w:val="center"/>
                              <w:rPr>
                                <w:sz w:val="18"/>
                                <w:szCs w:val="22"/>
                              </w:rPr>
                            </w:pPr>
                            <w:r w:rsidRPr="000A23FA">
                              <w:rPr>
                                <w:sz w:val="18"/>
                                <w:szCs w:val="22"/>
                              </w:rPr>
                              <w:t>D01</w:t>
                            </w:r>
                          </w:p>
                        </w:txbxContent>
                      </v:textbox>
                    </v:shape>
                  </w:pict>
                </mc:Fallback>
              </mc:AlternateContent>
            </w:r>
            <w:r w:rsidR="008E2966"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2D4198">
            <w:pPr>
              <w:widowControl w:val="0"/>
              <w:autoSpaceDE w:val="0"/>
              <w:autoSpaceDN w:val="0"/>
              <w:bidi w:val="0"/>
              <w:adjustRightInd w:val="0"/>
              <w:jc w:val="center"/>
              <w:rPr>
                <w:rFonts w:asciiTheme="minorBidi" w:hAnsiTheme="minorBidi" w:cstheme="minorBidi"/>
                <w:color w:val="000000"/>
                <w:sz w:val="22"/>
                <w:szCs w:val="22"/>
              </w:rPr>
            </w:pPr>
            <w:r w:rsidRPr="002D4198">
              <w:rPr>
                <w:rFonts w:asciiTheme="minorBidi" w:hAnsiTheme="minorBidi" w:cstheme="minorBidi"/>
                <w:color w:val="000000"/>
                <w:sz w:val="22"/>
                <w:szCs w:val="22"/>
                <w:highlight w:val="lightGray"/>
              </w:rPr>
              <w:t>D0</w:t>
            </w:r>
            <w:r w:rsidR="002D4198" w:rsidRPr="002D4198">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2D4198"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19BA90B8" wp14:editId="254EA635">
                      <wp:simplePos x="0" y="0"/>
                      <wp:positionH relativeFrom="column">
                        <wp:posOffset>2124075</wp:posOffset>
                      </wp:positionH>
                      <wp:positionV relativeFrom="paragraph">
                        <wp:posOffset>351155</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2D4198" w:rsidRPr="000A23FA" w:rsidRDefault="002D4198" w:rsidP="002D4198">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 o:spid="_x0000_s1028" type="#_x0000_t5" style="position:absolute;margin-left:167.25pt;margin-top:27.65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L2agIAACUFAAAOAAAAZHJzL2Uyb0RvYy54bWysVE1PGzEQvVfqf7B8L5ukgG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eTq7OJ+dcSbp&#10;6PP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M/zmpXfAAAACgEAAA8AAABkcnMv&#10;ZG93bnJldi54bWxMj8tOwzAQRfdI/IM1SGwQtRs3CEKcivJo121ZsHRjk0TY4yh22vTvGVZlOZqj&#10;e88tl5N37GiH2AVUMJ8JYBbrYDpsFHzuP+4fgcWk0WgX0Co42wjL6vqq1IUJJ9za4y41jEIwFlpB&#10;m1JfcB7r1nodZ6G3SL/vMHid6BwabgZ9onDveCbEA/e6Q2podW9fW1v/7Eav4H3j1itp1tmb2G9X&#10;X2lzHu+eOqVub6aXZ2DJTukCw58+qUNFTocwoonMKZBykROqIM8lMAIWIqNxByLnmQRelfz/hOoX&#10;AAD//wMAUEsBAi0AFAAGAAgAAAAhALaDOJL+AAAA4QEAABMAAAAAAAAAAAAAAAAAAAAAAFtDb250&#10;ZW50X1R5cGVzXS54bWxQSwECLQAUAAYACAAAACEAOP0h/9YAAACUAQAACwAAAAAAAAAAAAAAAAAv&#10;AQAAX3JlbHMvLnJlbHNQSwECLQAUAAYACAAAACEAIi3y9moCAAAlBQAADgAAAAAAAAAAAAAAAAAu&#10;AgAAZHJzL2Uyb0RvYy54bWxQSwECLQAUAAYACAAAACEAz/Oald8AAAAKAQAADwAAAAAAAAAAAAAA&#10;AADEBAAAZHJzL2Rvd25yZXYueG1sUEsFBgAAAAAEAAQA8wAAANAFAAAAAA==&#10;" fillcolor="white [3201]" strokecolor="black [3200]" strokeweight="0">
                      <v:textbox inset="0,0,0,0">
                        <w:txbxContent>
                          <w:p w:rsidR="002D4198" w:rsidRPr="000A23FA" w:rsidRDefault="002D4198" w:rsidP="002D4198">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2D4198" w:rsidRPr="00697D6B" w:rsidTr="00B173B8">
        <w:trPr>
          <w:trHeight w:val="511"/>
          <w:jc w:val="center"/>
        </w:trPr>
        <w:tc>
          <w:tcPr>
            <w:tcW w:w="8878" w:type="dxa"/>
            <w:gridSpan w:val="4"/>
            <w:shd w:val="clear" w:color="auto" w:fill="B8CCE4" w:themeFill="accent1" w:themeFillTint="66"/>
            <w:vAlign w:val="center"/>
          </w:tcPr>
          <w:p w:rsidR="002D4198" w:rsidRPr="00697D6B" w:rsidRDefault="002D4198" w:rsidP="00B173B8">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2D4198" w:rsidRPr="000A23FA" w:rsidTr="00B173B8">
        <w:trPr>
          <w:trHeight w:val="570"/>
          <w:jc w:val="center"/>
        </w:trPr>
        <w:tc>
          <w:tcPr>
            <w:tcW w:w="523" w:type="dxa"/>
            <w:vAlign w:val="center"/>
          </w:tcPr>
          <w:p w:rsidR="002D4198" w:rsidRPr="000A23FA" w:rsidRDefault="002D4198"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2D4198" w:rsidRPr="000A23FA" w:rsidRDefault="002D4198"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2D4198" w:rsidRPr="000A23FA" w:rsidRDefault="002D4198"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2D4198" w:rsidRPr="000A23FA" w:rsidRDefault="002D4198" w:rsidP="00B173B8">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2D4198" w:rsidRPr="000A23FA" w:rsidTr="00B173B8">
        <w:trPr>
          <w:trHeight w:val="570"/>
          <w:jc w:val="center"/>
        </w:trPr>
        <w:tc>
          <w:tcPr>
            <w:tcW w:w="523" w:type="dxa"/>
            <w:vAlign w:val="center"/>
          </w:tcPr>
          <w:p w:rsidR="002D4198" w:rsidRPr="000A23FA" w:rsidRDefault="002D4198"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2D4198" w:rsidRPr="000A23FA" w:rsidRDefault="002D4198"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2D4198" w:rsidRPr="000A23FA" w:rsidRDefault="002D4198" w:rsidP="00B173B8">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2D4198" w:rsidRPr="000A23FA" w:rsidRDefault="002D4198"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2D4198" w:rsidRPr="000A23FA" w:rsidTr="00B173B8">
        <w:trPr>
          <w:trHeight w:val="570"/>
          <w:jc w:val="center"/>
        </w:trPr>
        <w:tc>
          <w:tcPr>
            <w:tcW w:w="523" w:type="dxa"/>
            <w:vAlign w:val="center"/>
          </w:tcPr>
          <w:p w:rsidR="002D4198" w:rsidRPr="000A23FA" w:rsidRDefault="002D4198"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2D4198" w:rsidRPr="000A23FA" w:rsidRDefault="002D4198" w:rsidP="00B173B8">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2D4198" w:rsidRPr="000A23FA" w:rsidRDefault="002D4198"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2D4198" w:rsidRPr="000A23FA" w:rsidRDefault="002D4198"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2D4198" w:rsidRPr="000A23FA" w:rsidTr="00B173B8">
        <w:trPr>
          <w:trHeight w:val="570"/>
          <w:jc w:val="center"/>
        </w:trPr>
        <w:tc>
          <w:tcPr>
            <w:tcW w:w="523" w:type="dxa"/>
            <w:vAlign w:val="center"/>
          </w:tcPr>
          <w:p w:rsidR="002D4198" w:rsidRPr="000A23FA" w:rsidRDefault="002D4198"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2D4198" w:rsidRPr="000A23FA" w:rsidRDefault="002D4198" w:rsidP="00B173B8">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2D4198" w:rsidRPr="000A23FA" w:rsidRDefault="002D4198" w:rsidP="00B173B8">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2D4198" w:rsidRPr="000A23FA" w:rsidRDefault="002D4198"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2D4198" w:rsidRPr="000A23FA" w:rsidTr="00B173B8">
        <w:trPr>
          <w:trHeight w:val="570"/>
          <w:jc w:val="center"/>
        </w:trPr>
        <w:tc>
          <w:tcPr>
            <w:tcW w:w="523" w:type="dxa"/>
            <w:vAlign w:val="center"/>
          </w:tcPr>
          <w:p w:rsidR="002D4198" w:rsidRPr="000A23FA" w:rsidRDefault="002D4198"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2D4198" w:rsidRPr="000A23FA" w:rsidRDefault="002D4198"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2D4198" w:rsidRPr="000A23FA" w:rsidRDefault="002D4198" w:rsidP="00B173B8">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2D4198" w:rsidRPr="000A23FA" w:rsidRDefault="002D4198" w:rsidP="00B173B8">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62AE5">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2D4198" w:rsidRPr="00494E30" w:rsidRDefault="002D4198" w:rsidP="002D4198">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4893A5AE" wp14:editId="6347D3EF">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2D4198" w:rsidRPr="000A23FA" w:rsidRDefault="002D4198" w:rsidP="002D4198">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9" type="#_x0000_t5" style="position:absolute;left:0;text-align:left;margin-left:452.05pt;margin-top:28.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2D4198" w:rsidRPr="000A23FA" w:rsidRDefault="002D4198" w:rsidP="002D4198">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B4" w:rsidRDefault="00CE1DB4" w:rsidP="00053F8D">
      <w:r>
        <w:separator/>
      </w:r>
    </w:p>
  </w:endnote>
  <w:endnote w:type="continuationSeparator" w:id="0">
    <w:p w:rsidR="00CE1DB4" w:rsidRDefault="00CE1DB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B4" w:rsidRDefault="00CE1DB4" w:rsidP="00053F8D">
      <w:r>
        <w:separator/>
      </w:r>
    </w:p>
  </w:footnote>
  <w:footnote w:type="continuationSeparator" w:id="0">
    <w:p w:rsidR="00CE1DB4" w:rsidRDefault="00CE1DB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84EF0B0" wp14:editId="6774665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7868EE9" wp14:editId="00257E2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9655B3C" wp14:editId="0069E81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79F878D0" wp14:editId="4C3FBCF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B5AC2">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B5AC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8E2674">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8E2674">
            <w:rPr>
              <w:rFonts w:asciiTheme="minorBidi" w:hAnsiTheme="minorBidi" w:cstheme="minorBidi"/>
              <w:b/>
              <w:bCs/>
              <w:sz w:val="16"/>
              <w:szCs w:val="16"/>
            </w:rPr>
            <w:t>MANUAL VALVES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1943E4">
          <w:pPr>
            <w:pStyle w:val="Header"/>
            <w:bidi w:val="0"/>
            <w:jc w:val="center"/>
            <w:rPr>
              <w:rFonts w:ascii="Arial" w:hAnsi="Arial" w:cs="B Zar"/>
              <w:color w:val="000000"/>
              <w:sz w:val="16"/>
              <w:szCs w:val="16"/>
            </w:rPr>
          </w:pPr>
          <w:r>
            <w:rPr>
              <w:rFonts w:ascii="Arial" w:hAnsi="Arial" w:cs="B Zar"/>
              <w:color w:val="000000"/>
              <w:sz w:val="16"/>
              <w:szCs w:val="16"/>
            </w:rPr>
            <w:t>D0</w:t>
          </w:r>
          <w:r w:rsidR="001943E4">
            <w:rPr>
              <w:rFonts w:ascii="Arial" w:hAnsi="Arial" w:cs="B Zar"/>
              <w:color w:val="000000"/>
              <w:sz w:val="16"/>
              <w:szCs w:val="16"/>
            </w:rPr>
            <w:t>1</w:t>
          </w:r>
        </w:p>
      </w:tc>
      <w:tc>
        <w:tcPr>
          <w:tcW w:w="711" w:type="dxa"/>
          <w:tcBorders>
            <w:bottom w:val="single" w:sz="12" w:space="0" w:color="auto"/>
          </w:tcBorders>
          <w:vAlign w:val="center"/>
        </w:tcPr>
        <w:p w:rsidR="007E6714" w:rsidRPr="007B6EBF" w:rsidRDefault="007E6714" w:rsidP="008E2674">
          <w:pPr>
            <w:pStyle w:val="Header"/>
            <w:bidi w:val="0"/>
            <w:jc w:val="center"/>
            <w:rPr>
              <w:rFonts w:ascii="Arial" w:hAnsi="Arial" w:cs="B Zar"/>
              <w:color w:val="000000"/>
              <w:sz w:val="16"/>
              <w:szCs w:val="16"/>
            </w:rPr>
          </w:pPr>
          <w:r>
            <w:rPr>
              <w:rFonts w:ascii="Arial" w:hAnsi="Arial" w:cs="B Zar"/>
              <w:color w:val="000000"/>
              <w:sz w:val="16"/>
              <w:szCs w:val="16"/>
            </w:rPr>
            <w:t>000</w:t>
          </w:r>
          <w:r w:rsidR="008E2674">
            <w:rPr>
              <w:rFonts w:ascii="Arial" w:hAnsi="Arial" w:cs="B Zar"/>
              <w:color w:val="000000"/>
              <w:sz w:val="16"/>
              <w:szCs w:val="16"/>
            </w:rPr>
            <w:t>4</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43E4"/>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4198"/>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D60"/>
    <w:rsid w:val="00593B76"/>
    <w:rsid w:val="005976FC"/>
    <w:rsid w:val="005A075B"/>
    <w:rsid w:val="005A3DD9"/>
    <w:rsid w:val="005A57BF"/>
    <w:rsid w:val="005A683B"/>
    <w:rsid w:val="005B5AC2"/>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2AE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1DB4"/>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359"/>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9551-DF31-415B-9954-EE72FA5C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4</cp:revision>
  <cp:lastPrinted>2019-04-28T16:04:00Z</cp:lastPrinted>
  <dcterms:created xsi:type="dcterms:W3CDTF">2021-11-30T08:45:00Z</dcterms:created>
  <dcterms:modified xsi:type="dcterms:W3CDTF">2022-08-28T07:05:00Z</dcterms:modified>
</cp:coreProperties>
</file>