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762981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762981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CONTROL PHILOSOPHY</w:t>
            </w:r>
          </w:p>
          <w:p w:rsidR="0078792F" w:rsidRDefault="0078792F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EA3057" w:rsidRDefault="0078792F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76298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762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76298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76298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B7C29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1B7C29" w:rsidP="00945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1B7C29" w:rsidP="00945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C22E8F" w:rsidP="00945C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  <w:bookmarkStart w:id="0" w:name="_GoBack"/>
            <w:bookmarkEnd w:id="0"/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C66E37" w:rsidRDefault="001B7C29" w:rsidP="00945C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0E2E1E" w:rsidRDefault="001B7C29" w:rsidP="00945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B7C29" w:rsidRPr="002918D6" w:rsidRDefault="001B7C29" w:rsidP="00945C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032C8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B7C29" w:rsidRPr="00C9109A" w:rsidRDefault="001B7C29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8792F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62981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2F5A2F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78792F">
              <w:rPr>
                <w:rFonts w:ascii="Arial" w:hAnsi="Arial" w:cs="Arial"/>
                <w:szCs w:val="20"/>
              </w:rPr>
              <w:t>. 202</w:t>
            </w:r>
            <w:r w:rsidR="00762981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62981" w:rsidP="0076298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66E37" w:rsidRDefault="00762981" w:rsidP="0076298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8792F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2918D6" w:rsidRDefault="00A032C8" w:rsidP="0076298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032C8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792F" w:rsidRPr="000E2E1E" w:rsidRDefault="0078792F" w:rsidP="00762981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8792F" w:rsidRPr="000E2E1E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762981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792F" w:rsidRPr="00CD3973" w:rsidRDefault="00F14633" w:rsidP="00762981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8792F" w:rsidRPr="00FB14E1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2F" w:rsidRPr="00FB14E1" w:rsidRDefault="0078792F" w:rsidP="0076298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76298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62981" w:rsidRPr="00762981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92F" w:rsidRPr="0045129D" w:rsidRDefault="00F14633" w:rsidP="0076298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6298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62981" w:rsidRPr="00762981">
              <w:rPr>
                <w:rFonts w:asciiTheme="minorBidi" w:hAnsiTheme="minorBidi" w:cstheme="minorBidi"/>
                <w:color w:val="000000"/>
                <w:sz w:val="17"/>
                <w:szCs w:val="17"/>
              </w:rPr>
              <w:t>F0Z-708522</w:t>
            </w:r>
          </w:p>
        </w:tc>
      </w:tr>
      <w:tr w:rsidR="0078792F" w:rsidRPr="00FB14E1" w:rsidTr="001B7C2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78792F" w:rsidRPr="00FB14E1" w:rsidRDefault="0078792F" w:rsidP="00762981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8792F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8792F" w:rsidRPr="00C10E61" w:rsidRDefault="0078792F" w:rsidP="0076298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F146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8792F" w:rsidRPr="003B1A41" w:rsidRDefault="0078792F" w:rsidP="00762981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762981">
      <w:pPr>
        <w:widowControl w:val="0"/>
        <w:bidi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762981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762981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762981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762981">
            <w:pPr>
              <w:widowControl w:val="0"/>
              <w:bidi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762981">
            <w:pPr>
              <w:widowControl w:val="0"/>
              <w:bidi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762981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A47" w:rsidRPr="005F03BB" w:rsidTr="006F4A47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F4A47" w:rsidRDefault="006F4A47" w:rsidP="006F4A47">
            <w:pPr>
              <w:jc w:val="center"/>
            </w:pPr>
            <w:r w:rsidRPr="00FD476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F4A47" w:rsidRPr="00B909F2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4A47" w:rsidRPr="005F03BB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4A47" w:rsidRPr="005F03BB" w:rsidTr="006F4A47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F4A47" w:rsidRDefault="006F4A47" w:rsidP="006F4A47">
            <w:pPr>
              <w:jc w:val="center"/>
            </w:pPr>
            <w:r w:rsidRPr="00FD476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F4A47" w:rsidRPr="00B909F2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4A47" w:rsidRPr="005F03BB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4A47" w:rsidRPr="00A54E86" w:rsidRDefault="006F4A47" w:rsidP="006F4A4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4A47" w:rsidRPr="0090540C" w:rsidRDefault="006F4A47" w:rsidP="006F4A47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539" w:rsidRDefault="008F7539" w:rsidP="00762981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539" w:rsidRDefault="008F7539" w:rsidP="00762981">
            <w:pPr>
              <w:widowControl w:val="0"/>
              <w:bidi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762981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762981">
            <w:pPr>
              <w:widowControl w:val="0"/>
              <w:bidi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762981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B739A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01954367" w:history="1">
        <w:r w:rsidR="00B739AD" w:rsidRPr="00B74F57">
          <w:rPr>
            <w:rStyle w:val="Hyperlink"/>
          </w:rPr>
          <w:t>1.0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INTRODUCTION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_Toc101954367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4</w:t>
        </w:r>
        <w:r w:rsidR="00B739AD">
          <w:rPr>
            <w:webHidden/>
          </w:rPr>
          <w:fldChar w:fldCharType="end"/>
        </w:r>
      </w:hyperlink>
    </w:p>
    <w:p w:rsidR="00B739AD" w:rsidRDefault="002B44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954368" w:history="1">
        <w:r w:rsidR="00B739AD" w:rsidRPr="00B74F57">
          <w:rPr>
            <w:rStyle w:val="Hyperlink"/>
          </w:rPr>
          <w:t>2.0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Scope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_Toc101954368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5</w:t>
        </w:r>
        <w:r w:rsidR="00B739AD">
          <w:rPr>
            <w:webHidden/>
          </w:rPr>
          <w:fldChar w:fldCharType="end"/>
        </w:r>
      </w:hyperlink>
    </w:p>
    <w:p w:rsidR="00B739AD" w:rsidRDefault="002B44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954369" w:history="1">
        <w:r w:rsidR="00B739AD" w:rsidRPr="00B74F57">
          <w:rPr>
            <w:rStyle w:val="Hyperlink"/>
          </w:rPr>
          <w:t>3.0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NORMATIVE REFERENCES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_Toc101954369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5</w:t>
        </w:r>
        <w:r w:rsidR="00B739AD">
          <w:rPr>
            <w:webHidden/>
          </w:rPr>
          <w:fldChar w:fldCharType="end"/>
        </w:r>
      </w:hyperlink>
    </w:p>
    <w:p w:rsidR="00B739AD" w:rsidRDefault="002B44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0" w:history="1">
        <w:r w:rsidR="00B739AD" w:rsidRPr="00B74F57">
          <w:rPr>
            <w:rStyle w:val="Hyperlink"/>
            <w:noProof/>
          </w:rPr>
          <w:t>3.1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Local Codes and Standards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_Toc101954370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5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2B44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1" w:history="1">
        <w:r w:rsidR="00B739AD" w:rsidRPr="00B74F57">
          <w:rPr>
            <w:rStyle w:val="Hyperlink"/>
            <w:noProof/>
          </w:rPr>
          <w:t>3.2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International Codes and Standards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_Toc101954371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5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2B44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2" w:history="1">
        <w:r w:rsidR="00B739AD" w:rsidRPr="00B74F57">
          <w:rPr>
            <w:rStyle w:val="Hyperlink"/>
            <w:noProof/>
          </w:rPr>
          <w:t>3.3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The Project Documents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_Toc101954372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6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2B44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3" w:history="1">
        <w:r w:rsidR="00B739AD" w:rsidRPr="00B74F57">
          <w:rPr>
            <w:rStyle w:val="Hyperlink"/>
            <w:noProof/>
          </w:rPr>
          <w:t>3.4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ENVIRONMENTAL DATA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_Toc101954373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6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2B44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4" w:history="1">
        <w:r w:rsidR="00B739AD" w:rsidRPr="00B74F57">
          <w:rPr>
            <w:rStyle w:val="Hyperlink"/>
            <w:noProof/>
          </w:rPr>
          <w:t>3.5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Order of Precedence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_Toc101954374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6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2B446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1954375" w:history="1">
        <w:r w:rsidR="00B739AD" w:rsidRPr="00B74F57">
          <w:rPr>
            <w:rStyle w:val="Hyperlink"/>
          </w:rPr>
          <w:t>4.0</w:t>
        </w:r>
        <w:r w:rsidR="00B739A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B739AD" w:rsidRPr="00B74F57">
          <w:rPr>
            <w:rStyle w:val="Hyperlink"/>
          </w:rPr>
          <w:t>control system</w:t>
        </w:r>
        <w:r w:rsidR="00B739AD">
          <w:rPr>
            <w:webHidden/>
          </w:rPr>
          <w:tab/>
        </w:r>
        <w:r w:rsidR="00B739AD">
          <w:rPr>
            <w:webHidden/>
          </w:rPr>
          <w:fldChar w:fldCharType="begin"/>
        </w:r>
        <w:r w:rsidR="00B739AD">
          <w:rPr>
            <w:webHidden/>
          </w:rPr>
          <w:instrText xml:space="preserve"> PAGEREF _Toc101954375 \h </w:instrText>
        </w:r>
        <w:r w:rsidR="00B739AD">
          <w:rPr>
            <w:webHidden/>
          </w:rPr>
        </w:r>
        <w:r w:rsidR="00B739AD">
          <w:rPr>
            <w:webHidden/>
          </w:rPr>
          <w:fldChar w:fldCharType="separate"/>
        </w:r>
        <w:r w:rsidR="005852F9">
          <w:rPr>
            <w:webHidden/>
          </w:rPr>
          <w:t>7</w:t>
        </w:r>
        <w:r w:rsidR="00B739AD">
          <w:rPr>
            <w:webHidden/>
          </w:rPr>
          <w:fldChar w:fldCharType="end"/>
        </w:r>
      </w:hyperlink>
    </w:p>
    <w:p w:rsidR="00B739AD" w:rsidRDefault="002B44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6" w:history="1">
        <w:r w:rsidR="00B739AD" w:rsidRPr="00B74F57">
          <w:rPr>
            <w:rStyle w:val="Hyperlink"/>
            <w:noProof/>
          </w:rPr>
          <w:t>4.1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line break detection system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_Toc101954376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7</w:t>
        </w:r>
        <w:r w:rsidR="00B739AD">
          <w:rPr>
            <w:noProof/>
            <w:webHidden/>
          </w:rPr>
          <w:fldChar w:fldCharType="end"/>
        </w:r>
      </w:hyperlink>
    </w:p>
    <w:p w:rsidR="00B739AD" w:rsidRDefault="002B446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1954377" w:history="1">
        <w:r w:rsidR="00B739AD" w:rsidRPr="00B74F57">
          <w:rPr>
            <w:rStyle w:val="Hyperlink"/>
            <w:noProof/>
          </w:rPr>
          <w:t>4.2</w:t>
        </w:r>
        <w:r w:rsidR="00B739AD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B739AD" w:rsidRPr="00B74F57">
          <w:rPr>
            <w:rStyle w:val="Hyperlink"/>
            <w:noProof/>
          </w:rPr>
          <w:t>pig reciever and pig launcher stations</w:t>
        </w:r>
        <w:r w:rsidR="00B739AD">
          <w:rPr>
            <w:noProof/>
            <w:webHidden/>
          </w:rPr>
          <w:tab/>
        </w:r>
        <w:r w:rsidR="00B739AD">
          <w:rPr>
            <w:noProof/>
            <w:webHidden/>
          </w:rPr>
          <w:fldChar w:fldCharType="begin"/>
        </w:r>
        <w:r w:rsidR="00B739AD">
          <w:rPr>
            <w:noProof/>
            <w:webHidden/>
          </w:rPr>
          <w:instrText xml:space="preserve"> PAGEREF _Toc101954377 \h </w:instrText>
        </w:r>
        <w:r w:rsidR="00B739AD">
          <w:rPr>
            <w:noProof/>
            <w:webHidden/>
          </w:rPr>
        </w:r>
        <w:r w:rsidR="00B739AD">
          <w:rPr>
            <w:noProof/>
            <w:webHidden/>
          </w:rPr>
          <w:fldChar w:fldCharType="separate"/>
        </w:r>
        <w:r w:rsidR="005852F9">
          <w:rPr>
            <w:noProof/>
            <w:webHidden/>
          </w:rPr>
          <w:t>7</w:t>
        </w:r>
        <w:r w:rsidR="00B739AD">
          <w:rPr>
            <w:noProof/>
            <w:webHidden/>
          </w:rPr>
          <w:fldChar w:fldCharType="end"/>
        </w:r>
      </w:hyperlink>
    </w:p>
    <w:p w:rsidR="0057759A" w:rsidRDefault="00BD2402" w:rsidP="00762981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762981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76298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195436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4C5CA3" w:rsidRDefault="00EB2D3E" w:rsidP="00762981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73413F" w:rsidRPr="00184766" w:rsidRDefault="0073413F" w:rsidP="00762981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73413F" w:rsidRDefault="0073413F" w:rsidP="00762981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</w:t>
      </w:r>
      <w:proofErr w:type="spellStart"/>
      <w:r>
        <w:rPr>
          <w:rFonts w:ascii="Arial" w:hAnsi="Arial" w:cs="Arial"/>
          <w:sz w:val="22"/>
          <w:szCs w:val="22"/>
        </w:rPr>
        <w:t>Binak</w:t>
      </w:r>
      <w:proofErr w:type="spellEnd"/>
      <w:r>
        <w:rPr>
          <w:rFonts w:ascii="Arial" w:hAnsi="Arial" w:cs="Arial"/>
          <w:sz w:val="22"/>
          <w:szCs w:val="22"/>
        </w:rPr>
        <w:t xml:space="preserve"> New GCS to </w:t>
      </w:r>
      <w:proofErr w:type="spellStart"/>
      <w:r>
        <w:rPr>
          <w:rFonts w:ascii="Arial" w:hAnsi="Arial" w:cs="Arial"/>
          <w:sz w:val="22"/>
          <w:szCs w:val="22"/>
        </w:rPr>
        <w:t>Siahmakan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C50D6">
        <w:rPr>
          <w:rFonts w:ascii="Arial" w:hAnsi="Arial" w:cs="Arial"/>
          <w:sz w:val="22"/>
          <w:szCs w:val="22"/>
        </w:rPr>
        <w:t>GIS/</w:t>
      </w:r>
      <w:proofErr w:type="spellStart"/>
      <w:r w:rsidR="00CC50D6">
        <w:rPr>
          <w:rFonts w:ascii="Arial" w:hAnsi="Arial" w:cs="Arial"/>
          <w:sz w:val="22"/>
          <w:szCs w:val="22"/>
        </w:rPr>
        <w:t>Binak</w:t>
      </w:r>
      <w:proofErr w:type="spellEnd"/>
      <w:r w:rsidR="00CC50D6">
        <w:rPr>
          <w:rFonts w:ascii="Arial" w:hAnsi="Arial" w:cs="Arial"/>
          <w:sz w:val="22"/>
          <w:szCs w:val="22"/>
        </w:rPr>
        <w:t xml:space="preserve"> PU</w:t>
      </w:r>
      <w:r>
        <w:rPr>
          <w:rFonts w:ascii="Arial" w:hAnsi="Arial" w:cs="Arial"/>
          <w:sz w:val="22"/>
          <w:szCs w:val="22"/>
        </w:rPr>
        <w:t>) shall be constructed.</w:t>
      </w:r>
    </w:p>
    <w:p w:rsidR="0073413F" w:rsidRPr="0027058A" w:rsidRDefault="0073413F" w:rsidP="00762981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B516BA" w:rsidRDefault="0073413F" w:rsidP="00762981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3413F" w:rsidRPr="00B516BA" w:rsidTr="007776D6">
        <w:trPr>
          <w:trHeight w:val="352"/>
        </w:trPr>
        <w:tc>
          <w:tcPr>
            <w:tcW w:w="3780" w:type="dxa"/>
          </w:tcPr>
          <w:p w:rsidR="0073413F" w:rsidRPr="00B516BA" w:rsidRDefault="00F14633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8F4C5A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B516BA" w:rsidRDefault="00273819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F146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:rsidTr="007776D6">
        <w:tc>
          <w:tcPr>
            <w:tcW w:w="3780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762981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762981" w:rsidRDefault="00762981" w:rsidP="00762981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5" w:name="_Toc343327080"/>
      <w:bookmarkStart w:id="6" w:name="_Toc343327777"/>
      <w:bookmarkStart w:id="7" w:name="_Toc328298191"/>
      <w:bookmarkStart w:id="8" w:name="_Toc259347570"/>
      <w:bookmarkStart w:id="9" w:name="_Toc292715166"/>
      <w:bookmarkStart w:id="10" w:name="_Toc325006574"/>
    </w:p>
    <w:p w:rsidR="00762981" w:rsidRDefault="00762981" w:rsidP="00762981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855832" w:rsidRDefault="00855832" w:rsidP="0076298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1" w:name="_Toc101954368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"/>
      <w:bookmarkEnd w:id="6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7"/>
    </w:p>
    <w:p w:rsidR="00762981" w:rsidRPr="00762981" w:rsidRDefault="00762981" w:rsidP="00762981">
      <w:pPr>
        <w:pStyle w:val="ListParagraph"/>
        <w:widowControl w:val="0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bookmarkStart w:id="12" w:name="_Toc328298192"/>
      <w:bookmarkEnd w:id="8"/>
      <w:bookmarkEnd w:id="9"/>
      <w:bookmarkEnd w:id="10"/>
      <w:r w:rsidRPr="00762981">
        <w:rPr>
          <w:rFonts w:ascii="Arial" w:hAnsi="Arial" w:cs="Arial"/>
          <w:sz w:val="22"/>
          <w:szCs w:val="22"/>
          <w:lang w:bidi="fa-IR"/>
        </w:rPr>
        <w:t xml:space="preserve">The purpose of this document is to provide process control philosophy for </w:t>
      </w:r>
      <w:r>
        <w:rPr>
          <w:rFonts w:ascii="Arial" w:hAnsi="Arial" w:cs="Arial"/>
          <w:sz w:val="22"/>
          <w:szCs w:val="22"/>
          <w:lang w:bidi="fa-IR"/>
        </w:rPr>
        <w:t>Pipeline</w:t>
      </w:r>
      <w:r w:rsidRPr="00762981">
        <w:rPr>
          <w:rFonts w:ascii="Arial" w:hAnsi="Arial" w:cs="Arial"/>
          <w:sz w:val="22"/>
          <w:szCs w:val="22"/>
          <w:lang w:bidi="fa-IR"/>
        </w:rPr>
        <w:t>.</w:t>
      </w:r>
    </w:p>
    <w:p w:rsidR="00855832" w:rsidRPr="00E508B2" w:rsidRDefault="000C3C86" w:rsidP="0076298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3" w:name="_Toc343327081"/>
      <w:bookmarkStart w:id="14" w:name="_Toc343327778"/>
      <w:bookmarkStart w:id="15" w:name="_Toc101954369"/>
      <w:bookmarkEnd w:id="12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3"/>
      <w:bookmarkEnd w:id="14"/>
      <w:bookmarkEnd w:id="15"/>
    </w:p>
    <w:p w:rsidR="00855832" w:rsidRDefault="00855832" w:rsidP="00762981">
      <w:pPr>
        <w:pStyle w:val="Heading2"/>
        <w:widowControl w:val="0"/>
      </w:pPr>
      <w:bookmarkStart w:id="16" w:name="_Toc343001691"/>
      <w:bookmarkStart w:id="17" w:name="_Toc343327082"/>
      <w:bookmarkStart w:id="18" w:name="_Toc343327779"/>
      <w:bookmarkStart w:id="19" w:name="_Toc101954370"/>
      <w:bookmarkStart w:id="20" w:name="_Toc325006576"/>
      <w:r w:rsidRPr="00E508B2">
        <w:t>Local Codes and Standards</w:t>
      </w:r>
      <w:bookmarkEnd w:id="16"/>
      <w:bookmarkEnd w:id="17"/>
      <w:bookmarkEnd w:id="18"/>
      <w:bookmarkEnd w:id="19"/>
    </w:p>
    <w:tbl>
      <w:tblPr>
        <w:tblStyle w:val="TableGrid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IPS-E-IN-180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Standard for Instrument Electrical Power Supply and Distribution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IPS-E-IN-190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Standard for Transmission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IPS-G-IN-220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Engineering and Installation Standard for Control </w:t>
            </w:r>
            <w:proofErr w:type="spellStart"/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Centers</w:t>
            </w:r>
            <w:proofErr w:type="spellEnd"/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IPS-G-IN-250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&amp; Construction Standard for Distributed Control System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IPS-G-IN-260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and Installation Standard for Indicating Lights, Alarms and Protective System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IPS-G-IN-270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General Standard for Instruments of Fire &amp; Gas Detection Equipment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and Construction Standard for Programmable Logic Controllers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IPS-M-IN-190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and Equipment Standard for Transmission System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IPS-M-IN-220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Standard for Control Panels and System Cabinets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IPS-M-IN-250(1)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and Equipment Standard for Distributed Control System (DCS)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IPS-M-IN-260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Engineering and Equipment standards for Alarm and Protective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IPS-M-IN-280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Material and Equipment Standard for Miscellaneous Items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IPS-M-IN-290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Material and Equipment Standard for Programmable Logic 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IPS-G-IN-250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62981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Distributed Control System</w:t>
            </w:r>
          </w:p>
        </w:tc>
      </w:tr>
    </w:tbl>
    <w:p w:rsidR="00855832" w:rsidRDefault="00855832" w:rsidP="00762981">
      <w:pPr>
        <w:pStyle w:val="Heading2"/>
        <w:widowControl w:val="0"/>
      </w:pPr>
      <w:bookmarkStart w:id="21" w:name="_Toc343001692"/>
      <w:bookmarkStart w:id="22" w:name="_Toc343327083"/>
      <w:bookmarkStart w:id="23" w:name="_Toc343327780"/>
      <w:bookmarkStart w:id="24" w:name="_Toc101954371"/>
      <w:r w:rsidRPr="00E508B2">
        <w:t>International Codes and Standards</w:t>
      </w:r>
      <w:bookmarkEnd w:id="21"/>
      <w:bookmarkEnd w:id="22"/>
      <w:bookmarkEnd w:id="23"/>
      <w:bookmarkEnd w:id="24"/>
    </w:p>
    <w:tbl>
      <w:tblPr>
        <w:tblStyle w:val="TableGrid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API 552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Transmission Systems</w:t>
            </w:r>
          </w:p>
        </w:tc>
      </w:tr>
      <w:tr w:rsidR="00762981" w:rsidRPr="004E3408" w:rsidTr="007776D6">
        <w:trPr>
          <w:trHeight w:val="567"/>
        </w:trPr>
        <w:tc>
          <w:tcPr>
            <w:tcW w:w="3686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API RP 550</w:t>
            </w:r>
          </w:p>
        </w:tc>
        <w:tc>
          <w:tcPr>
            <w:tcW w:w="6379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Manual on Installation of Refinery Instrument and Control System</w:t>
            </w:r>
          </w:p>
        </w:tc>
      </w:tr>
    </w:tbl>
    <w:p w:rsidR="00762981" w:rsidRPr="00762981" w:rsidRDefault="00762981" w:rsidP="00762981">
      <w:pPr>
        <w:bidi w:val="0"/>
        <w:rPr>
          <w:lang w:val="en-GB"/>
        </w:rPr>
      </w:pPr>
    </w:p>
    <w:p w:rsidR="00855832" w:rsidRPr="00B32163" w:rsidRDefault="00855832" w:rsidP="00762981">
      <w:pPr>
        <w:pStyle w:val="Heading2"/>
        <w:widowControl w:val="0"/>
      </w:pPr>
      <w:bookmarkStart w:id="25" w:name="_Toc343001693"/>
      <w:bookmarkStart w:id="26" w:name="_Toc343327084"/>
      <w:bookmarkStart w:id="27" w:name="_Toc343327781"/>
      <w:bookmarkStart w:id="28" w:name="_Toc101954372"/>
      <w:r w:rsidRPr="00B32163">
        <w:lastRenderedPageBreak/>
        <w:t>The Project Documents</w:t>
      </w:r>
      <w:bookmarkEnd w:id="25"/>
      <w:bookmarkEnd w:id="26"/>
      <w:bookmarkEnd w:id="27"/>
      <w:bookmarkEnd w:id="28"/>
    </w:p>
    <w:tbl>
      <w:tblPr>
        <w:tblStyle w:val="TableGrid"/>
        <w:tblW w:w="9497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536"/>
      </w:tblGrid>
      <w:tr w:rsidR="00762981" w:rsidRPr="004E3408" w:rsidTr="007776D6">
        <w:trPr>
          <w:trHeight w:val="567"/>
        </w:trPr>
        <w:tc>
          <w:tcPr>
            <w:tcW w:w="4961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bookmarkStart w:id="29" w:name="_Toc341278664"/>
            <w:bookmarkStart w:id="30" w:name="_Toc341280195"/>
            <w:bookmarkStart w:id="31" w:name="_Toc343327085"/>
            <w:bookmarkStart w:id="32" w:name="_Toc343327782"/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BK-GNRAL-PEDCO-000-PR-DC-0001</w:t>
            </w:r>
          </w:p>
        </w:tc>
        <w:tc>
          <w:tcPr>
            <w:tcW w:w="4536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Design Criteria</w:t>
            </w:r>
          </w:p>
        </w:tc>
      </w:tr>
      <w:tr w:rsidR="00762981" w:rsidRPr="004E3408" w:rsidTr="007776D6">
        <w:trPr>
          <w:trHeight w:val="567"/>
        </w:trPr>
        <w:tc>
          <w:tcPr>
            <w:tcW w:w="4961" w:type="dxa"/>
            <w:vAlign w:val="center"/>
          </w:tcPr>
          <w:p w:rsidR="00762981" w:rsidRPr="004E3408" w:rsidRDefault="00762981" w:rsidP="007776D6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BK-GNRAL-PEDCO-000-PR-DB-0001</w:t>
            </w:r>
          </w:p>
        </w:tc>
        <w:tc>
          <w:tcPr>
            <w:tcW w:w="4536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4E3408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Process Basis Of Design</w:t>
            </w:r>
          </w:p>
        </w:tc>
      </w:tr>
      <w:tr w:rsidR="00762981" w:rsidRPr="004E3408" w:rsidTr="007776D6">
        <w:trPr>
          <w:trHeight w:val="567"/>
        </w:trPr>
        <w:tc>
          <w:tcPr>
            <w:tcW w:w="4961" w:type="dxa"/>
            <w:vAlign w:val="center"/>
          </w:tcPr>
          <w:p w:rsidR="00762981" w:rsidRPr="004E3408" w:rsidRDefault="00762981" w:rsidP="00762981">
            <w:pPr>
              <w:pStyle w:val="ListParagraph"/>
              <w:numPr>
                <w:ilvl w:val="0"/>
                <w:numId w:val="11"/>
              </w:num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762981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BK-PPL-PEDCO-320-PR-PI-0001</w:t>
            </w:r>
          </w:p>
        </w:tc>
        <w:tc>
          <w:tcPr>
            <w:tcW w:w="4536" w:type="dxa"/>
            <w:vAlign w:val="center"/>
          </w:tcPr>
          <w:p w:rsidR="00762981" w:rsidRPr="004E3408" w:rsidRDefault="00762981" w:rsidP="007776D6">
            <w:pPr>
              <w:bidi w:val="0"/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</w:pPr>
            <w:r w:rsidRPr="00762981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P&amp;ID - Gas Pipeline (to </w:t>
            </w:r>
            <w:proofErr w:type="spellStart"/>
            <w:r w:rsidRPr="00762981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>Siahmakan</w:t>
            </w:r>
            <w:proofErr w:type="spellEnd"/>
            <w:r w:rsidRPr="00762981">
              <w:rPr>
                <w:rFonts w:ascii="Arial" w:hAnsi="Arial" w:cs="Arial"/>
                <w:snapToGrid w:val="0"/>
                <w:color w:val="000000" w:themeColor="text1"/>
                <w:sz w:val="22"/>
                <w:szCs w:val="20"/>
                <w:lang w:val="en-GB" w:eastAsia="en-GB"/>
              </w:rPr>
              <w:t xml:space="preserve"> G.I. Station)</w:t>
            </w:r>
          </w:p>
        </w:tc>
      </w:tr>
    </w:tbl>
    <w:p w:rsidR="00855832" w:rsidRPr="00B32163" w:rsidRDefault="00855832" w:rsidP="00762981">
      <w:pPr>
        <w:pStyle w:val="Heading2"/>
        <w:widowControl w:val="0"/>
      </w:pPr>
      <w:bookmarkStart w:id="33" w:name="_Toc101954373"/>
      <w:r w:rsidRPr="00B32163">
        <w:t>ENVIRONMENTAL DATA</w:t>
      </w:r>
      <w:bookmarkEnd w:id="29"/>
      <w:bookmarkEnd w:id="30"/>
      <w:bookmarkEnd w:id="31"/>
      <w:bookmarkEnd w:id="32"/>
      <w:bookmarkEnd w:id="33"/>
    </w:p>
    <w:p w:rsidR="00855832" w:rsidRPr="00B32163" w:rsidRDefault="00855832" w:rsidP="00CC7ECD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CC7ECD" w:rsidRPr="00CD64A4">
        <w:rPr>
          <w:rFonts w:ascii="Arial" w:hAnsi="Arial" w:cs="Arial"/>
          <w:sz w:val="22"/>
          <w:szCs w:val="22"/>
          <w:lang w:bidi="fa-IR"/>
        </w:rPr>
        <w:t>BK-GNRAL-PEDCO-000-PR-DB-0001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". </w:t>
      </w:r>
    </w:p>
    <w:p w:rsidR="00662518" w:rsidRPr="00662518" w:rsidRDefault="00662518" w:rsidP="00762981">
      <w:pPr>
        <w:pStyle w:val="Heading2"/>
        <w:widowControl w:val="0"/>
        <w:tabs>
          <w:tab w:val="clear" w:pos="1440"/>
          <w:tab w:val="num" w:pos="1572"/>
        </w:tabs>
      </w:pPr>
      <w:bookmarkStart w:id="34" w:name="_Toc83130850"/>
      <w:bookmarkStart w:id="35" w:name="_Toc83133994"/>
      <w:bookmarkStart w:id="36" w:name="_Toc83136016"/>
      <w:bookmarkStart w:id="37" w:name="_Toc101954374"/>
      <w:bookmarkEnd w:id="20"/>
      <w:r w:rsidRPr="00662518">
        <w:t>Order of Precedence</w:t>
      </w:r>
      <w:bookmarkEnd w:id="34"/>
      <w:bookmarkEnd w:id="35"/>
      <w:bookmarkEnd w:id="36"/>
      <w:bookmarkEnd w:id="37"/>
    </w:p>
    <w:p w:rsidR="00F80E41" w:rsidRDefault="00F80E41" w:rsidP="0076298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case of any conflict between the contents of this document or any discrepancy between this document and other project documents or reference standards, this issue must be reported to the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/>
          <w:sz w:val="22"/>
          <w:szCs w:val="22"/>
          <w:lang w:bidi="fa-IR"/>
        </w:rPr>
        <w:t xml:space="preserve">. The final decision in this situation will be made by </w:t>
      </w:r>
      <w:r w:rsidR="00F14633">
        <w:rPr>
          <w:rFonts w:ascii="Arial" w:hAnsi="Arial" w:cs="Arial"/>
          <w:sz w:val="22"/>
          <w:szCs w:val="22"/>
          <w:lang w:bidi="fa-IR"/>
        </w:rPr>
        <w:t>CLIENT</w:t>
      </w:r>
      <w:r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292627" w:rsidRPr="00855832" w:rsidRDefault="00292627" w:rsidP="00762981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07511E" w:rsidRDefault="0007511E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</w:pPr>
      <w:r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p w:rsidR="00B720D2" w:rsidRDefault="0007511E" w:rsidP="0007511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8" w:name="_Toc101954375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control system</w:t>
      </w:r>
      <w:bookmarkEnd w:id="38"/>
    </w:p>
    <w:p w:rsidR="0007511E" w:rsidRDefault="0007511E" w:rsidP="0007511E">
      <w:pPr>
        <w:pStyle w:val="Heading2"/>
        <w:widowControl w:val="0"/>
        <w:tabs>
          <w:tab w:val="clear" w:pos="1440"/>
          <w:tab w:val="num" w:pos="1572"/>
        </w:tabs>
      </w:pPr>
      <w:bookmarkStart w:id="39" w:name="_Toc101954376"/>
      <w:r>
        <w:t>line break detection system</w:t>
      </w:r>
      <w:bookmarkEnd w:id="39"/>
    </w:p>
    <w:p w:rsidR="0007511E" w:rsidRPr="0007511E" w:rsidRDefault="0007511E" w:rsidP="004D52A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D52A5">
        <w:rPr>
          <w:rFonts w:ascii="Arial" w:hAnsi="Arial" w:cs="Arial"/>
          <w:sz w:val="22"/>
          <w:szCs w:val="22"/>
          <w:lang w:bidi="fa-IR"/>
        </w:rPr>
        <w:t>LBV-</w:t>
      </w:r>
      <w:r w:rsidR="004D52A5">
        <w:rPr>
          <w:rFonts w:ascii="Arial" w:hAnsi="Arial" w:cs="Arial"/>
          <w:sz w:val="22"/>
          <w:szCs w:val="22"/>
          <w:lang w:bidi="fa-IR"/>
        </w:rPr>
        <w:t>3201</w:t>
      </w:r>
      <w:r w:rsidRPr="004D52A5">
        <w:rPr>
          <w:rFonts w:ascii="Arial" w:hAnsi="Arial" w:cs="Arial"/>
          <w:sz w:val="22"/>
          <w:szCs w:val="22"/>
          <w:lang w:bidi="fa-IR"/>
        </w:rPr>
        <w:t xml:space="preserve"> and LBV-</w:t>
      </w:r>
      <w:r w:rsidR="004D52A5">
        <w:rPr>
          <w:rFonts w:ascii="Arial" w:hAnsi="Arial" w:cs="Arial"/>
          <w:sz w:val="22"/>
          <w:szCs w:val="22"/>
          <w:lang w:bidi="fa-IR"/>
        </w:rPr>
        <w:t>3202</w:t>
      </w:r>
      <w:r w:rsidRPr="004D52A5">
        <w:rPr>
          <w:rFonts w:ascii="Arial" w:hAnsi="Arial" w:cs="Arial"/>
          <w:sz w:val="22"/>
          <w:szCs w:val="22"/>
          <w:lang w:bidi="fa-IR"/>
        </w:rPr>
        <w:t xml:space="preserve"> shall be installed</w:t>
      </w:r>
      <w:r w:rsidRPr="0007511E">
        <w:rPr>
          <w:rFonts w:ascii="Arial" w:hAnsi="Arial" w:cs="Arial"/>
          <w:sz w:val="22"/>
          <w:szCs w:val="22"/>
          <w:lang w:bidi="fa-IR"/>
        </w:rPr>
        <w:t xml:space="preserve"> at 28.4</w:t>
      </w:r>
      <w:r w:rsidR="004D52A5"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km and 28.6</w:t>
      </w:r>
      <w:r w:rsidR="004D52A5"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km respectively.</w:t>
      </w:r>
    </w:p>
    <w:p w:rsidR="0007511E" w:rsidRDefault="0007511E" w:rsidP="0007511E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7511E">
        <w:rPr>
          <w:rFonts w:ascii="Arial" w:hAnsi="Arial" w:cs="Arial"/>
          <w:sz w:val="22"/>
          <w:szCs w:val="22"/>
          <w:lang w:bidi="fa-IR"/>
        </w:rPr>
        <w:t>There is one self-actuated /gas operated control cabinet for each way valve (LBV-valve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station).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This cabinet includes control equipment to control the emergency shut-off valves related</w:t>
      </w:r>
      <w:r>
        <w:rPr>
          <w:rFonts w:ascii="Arial" w:hAnsi="Arial" w:cs="Arial"/>
          <w:sz w:val="22"/>
          <w:szCs w:val="22"/>
          <w:lang w:bidi="fa-IR"/>
        </w:rPr>
        <w:t xml:space="preserve"> </w:t>
      </w:r>
      <w:r w:rsidRPr="0007511E">
        <w:rPr>
          <w:rFonts w:ascii="Arial" w:hAnsi="Arial" w:cs="Arial"/>
          <w:sz w:val="22"/>
          <w:szCs w:val="22"/>
          <w:lang w:bidi="fa-IR"/>
        </w:rPr>
        <w:t>to each valve.</w:t>
      </w:r>
    </w:p>
    <w:p w:rsidR="004D52A5" w:rsidRDefault="004D52A5" w:rsidP="004D52A5">
      <w:pPr>
        <w:pStyle w:val="Heading2"/>
        <w:widowControl w:val="0"/>
        <w:tabs>
          <w:tab w:val="clear" w:pos="1440"/>
          <w:tab w:val="num" w:pos="1572"/>
        </w:tabs>
      </w:pPr>
      <w:bookmarkStart w:id="40" w:name="_Toc101954377"/>
      <w:r>
        <w:t>pig reciever and pig launcher stations</w:t>
      </w:r>
      <w:bookmarkEnd w:id="40"/>
    </w:p>
    <w:p w:rsidR="004D52A5" w:rsidRPr="004D52A5" w:rsidRDefault="004D52A5" w:rsidP="004D52A5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4D52A5">
        <w:rPr>
          <w:rFonts w:ascii="Arial" w:hAnsi="Arial" w:cs="Arial"/>
          <w:sz w:val="22"/>
          <w:szCs w:val="22"/>
          <w:lang w:bidi="fa-IR"/>
        </w:rPr>
        <w:t>Each receiver and launcher of the pig includes the following instrumentation equipment:</w:t>
      </w:r>
    </w:p>
    <w:p w:rsidR="00D545EF" w:rsidRPr="00D545EF" w:rsidRDefault="00D545EF" w:rsidP="00D545EF">
      <w:pPr>
        <w:pStyle w:val="ListParagraph"/>
        <w:widowControl w:val="0"/>
        <w:numPr>
          <w:ilvl w:val="1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Pig signaler indicator/Switch</w:t>
      </w:r>
    </w:p>
    <w:p w:rsidR="00D545EF" w:rsidRPr="00D545EF" w:rsidRDefault="00D545EF" w:rsidP="00D545EF">
      <w:pPr>
        <w:pStyle w:val="ListParagraph"/>
        <w:widowControl w:val="0"/>
        <w:numPr>
          <w:ilvl w:val="1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Pressure gauge/Transmitter</w:t>
      </w:r>
    </w:p>
    <w:p w:rsidR="004D52A5" w:rsidRPr="00D545EF" w:rsidRDefault="004D52A5" w:rsidP="004D52A5">
      <w:pPr>
        <w:pStyle w:val="ListParagraph"/>
        <w:widowControl w:val="0"/>
        <w:numPr>
          <w:ilvl w:val="1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Shutdown valve</w:t>
      </w:r>
    </w:p>
    <w:p w:rsidR="00D545EF" w:rsidRPr="00D545EF" w:rsidRDefault="00D545EF" w:rsidP="00D545EF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The transmitter signals from pig launcher is connected to ESD system of GCS plant and Shutdown valve in pig receiver area shall connected to existing control/ESD system of SIAHMAKAN plant.</w:t>
      </w:r>
    </w:p>
    <w:p w:rsidR="004D52A5" w:rsidRPr="004D52A5" w:rsidRDefault="004D52A5" w:rsidP="001B7C29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D545EF">
        <w:rPr>
          <w:rFonts w:ascii="Arial" w:hAnsi="Arial" w:cs="Arial"/>
          <w:sz w:val="22"/>
          <w:szCs w:val="22"/>
          <w:lang w:bidi="fa-IR"/>
        </w:rPr>
        <w:t>All pig receiving and launcher signals at pig station as well as pressure signals and control signals for emergency shut-off valves and motor valves at the stati</w:t>
      </w:r>
      <w:r w:rsidR="001B7C29">
        <w:rPr>
          <w:rFonts w:ascii="Arial" w:hAnsi="Arial" w:cs="Arial"/>
          <w:sz w:val="22"/>
          <w:szCs w:val="22"/>
          <w:lang w:bidi="fa-IR"/>
        </w:rPr>
        <w:t xml:space="preserve">on are transmitted to the CONTROL </w:t>
      </w:r>
      <w:r w:rsidRPr="00D545EF">
        <w:rPr>
          <w:rFonts w:ascii="Arial" w:hAnsi="Arial" w:cs="Arial"/>
          <w:sz w:val="22"/>
          <w:szCs w:val="22"/>
          <w:lang w:bidi="fa-IR"/>
        </w:rPr>
        <w:t>/</w:t>
      </w:r>
      <w:r w:rsidR="001B7C29">
        <w:rPr>
          <w:rFonts w:ascii="Arial" w:hAnsi="Arial" w:cs="Arial"/>
          <w:sz w:val="22"/>
          <w:szCs w:val="22"/>
          <w:lang w:bidi="fa-IR"/>
        </w:rPr>
        <w:t xml:space="preserve"> </w:t>
      </w:r>
      <w:r w:rsidRPr="00D545EF">
        <w:rPr>
          <w:rFonts w:ascii="Arial" w:hAnsi="Arial" w:cs="Arial"/>
          <w:sz w:val="22"/>
          <w:szCs w:val="22"/>
          <w:lang w:bidi="fa-IR"/>
        </w:rPr>
        <w:t>ESD system in transferring point.</w:t>
      </w:r>
    </w:p>
    <w:sectPr w:rsidR="004D52A5" w:rsidRPr="004D52A5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463" w:rsidRDefault="002B4463" w:rsidP="00053F8D">
      <w:r>
        <w:separator/>
      </w:r>
    </w:p>
  </w:endnote>
  <w:endnote w:type="continuationSeparator" w:id="0">
    <w:p w:rsidR="002B4463" w:rsidRDefault="002B446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463" w:rsidRDefault="002B4463" w:rsidP="00053F8D">
      <w:r>
        <w:separator/>
      </w:r>
    </w:p>
  </w:footnote>
  <w:footnote w:type="continuationSeparator" w:id="0">
    <w:p w:rsidR="002B4463" w:rsidRDefault="002B446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776D6" w:rsidRPr="008C593B" w:rsidTr="007776D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776D6" w:rsidRDefault="007776D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253DB083" wp14:editId="4AA9648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776D6" w:rsidRPr="00ED37F3" w:rsidRDefault="007776D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5F82B887" wp14:editId="34EE0E4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0832" behindDoc="0" locked="0" layoutInCell="1" allowOverlap="1" wp14:anchorId="2BA77218" wp14:editId="51D0DF8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776D6" w:rsidRPr="00EE43CF" w:rsidRDefault="007776D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776D6" w:rsidRDefault="007776D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776D6" w:rsidRPr="0037207F" w:rsidRDefault="007776D6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776D6" w:rsidRPr="0037207F" w:rsidRDefault="007776D6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776D6" w:rsidRPr="0034040D" w:rsidRDefault="007776D6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51D2672" wp14:editId="5A58D7C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76D6" w:rsidRPr="0034040D" w:rsidRDefault="007776D6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776D6" w:rsidRPr="008C593B" w:rsidTr="007776D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776D6" w:rsidRPr="00F67855" w:rsidRDefault="007776D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22E8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22E8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776D6" w:rsidRPr="003E261A" w:rsidRDefault="007776D6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762981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CONTROL PHILOSOPHY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776D6" w:rsidRPr="008C593B" w:rsidTr="007776D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776D6" w:rsidRPr="00F1221B" w:rsidRDefault="007776D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776D6" w:rsidRPr="00571B19" w:rsidRDefault="007776D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776D6" w:rsidRPr="00571B19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776D6" w:rsidRPr="00470459" w:rsidRDefault="007776D6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7776D6" w:rsidRPr="008C593B" w:rsidTr="007776D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776D6" w:rsidRPr="008C593B" w:rsidRDefault="007776D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776D6" w:rsidRPr="007B6EBF" w:rsidRDefault="005852F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PH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776D6" w:rsidRPr="007B6EBF" w:rsidRDefault="007776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776D6" w:rsidRPr="008C593B" w:rsidRDefault="007776D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776D6" w:rsidRPr="00CE0376" w:rsidRDefault="007776D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9EB0296"/>
    <w:multiLevelType w:val="hybridMultilevel"/>
    <w:tmpl w:val="5052C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F88FC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3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511E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A70AD"/>
    <w:rsid w:val="001B77A3"/>
    <w:rsid w:val="001B7C29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7058A"/>
    <w:rsid w:val="00273819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B4463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5A2F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C66AE"/>
    <w:rsid w:val="004D52A5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52F9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7645"/>
    <w:rsid w:val="006F4A47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2981"/>
    <w:rsid w:val="00764739"/>
    <w:rsid w:val="00775E6A"/>
    <w:rsid w:val="00776586"/>
    <w:rsid w:val="007776D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39AD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2E8F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A8D"/>
    <w:rsid w:val="00C946AB"/>
    <w:rsid w:val="00CA0F62"/>
    <w:rsid w:val="00CC50D6"/>
    <w:rsid w:val="00CC666E"/>
    <w:rsid w:val="00CC6969"/>
    <w:rsid w:val="00CC7ECD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5EF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C4C88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480F"/>
    <w:rsid w:val="00EF6B3F"/>
    <w:rsid w:val="00F002AE"/>
    <w:rsid w:val="00F00C50"/>
    <w:rsid w:val="00F11041"/>
    <w:rsid w:val="00F1221B"/>
    <w:rsid w:val="00F12586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ADCB03-BECB-4B3C-8994-E2F262A3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B2DE4-BFAF-470D-AEFE-5B4DA9697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7387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2</cp:revision>
  <cp:lastPrinted>2022-11-27T13:38:00Z</cp:lastPrinted>
  <dcterms:created xsi:type="dcterms:W3CDTF">2019-06-17T10:16:00Z</dcterms:created>
  <dcterms:modified xsi:type="dcterms:W3CDTF">2022-11-29T06:15:00Z</dcterms:modified>
</cp:coreProperties>
</file>