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855AA6" w:rsidP="002B632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CALCULATION NOTE FOR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COMPRESSOR</w:t>
            </w: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AREA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MAIN </w:t>
            </w: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>SLEEPERS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313F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A777C5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2B6322" w:rsidP="002B63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F173A3">
              <w:rPr>
                <w:rFonts w:ascii="Arial" w:hAnsi="Arial" w:cs="Arial"/>
                <w:szCs w:val="20"/>
              </w:rPr>
              <w:t>.</w:t>
            </w:r>
            <w:r w:rsidR="00EA16CA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A777C5" w:rsidP="001831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A777C5" w:rsidP="0018314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1831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1831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831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18314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E265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AF38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A777C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F0Z-7091</w:t>
            </w:r>
            <w:r w:rsidR="00AF381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29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AF381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B758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2863419" w:history="1">
        <w:r w:rsidR="000B7584" w:rsidRPr="00D1573C">
          <w:rPr>
            <w:rStyle w:val="Hyperlink"/>
          </w:rPr>
          <w:t>1.0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INTRODUCTION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_Toc122863419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4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0" w:history="1">
        <w:r w:rsidR="000B7584" w:rsidRPr="00D1573C">
          <w:rPr>
            <w:rStyle w:val="Hyperlink"/>
          </w:rPr>
          <w:t>2.0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Scope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_Toc122863420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5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1" w:history="1">
        <w:r w:rsidR="000B7584" w:rsidRPr="00D1573C">
          <w:rPr>
            <w:rStyle w:val="Hyperlink"/>
          </w:rPr>
          <w:t>3.0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NORMATIVE REFERENCES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_Toc122863421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5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7" w:history="1">
        <w:r w:rsidR="000B7584" w:rsidRPr="00D1573C">
          <w:rPr>
            <w:rStyle w:val="Hyperlink"/>
          </w:rPr>
          <w:t>4.0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MATERIALS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_Toc122863427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6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8" w:history="1">
        <w:r w:rsidR="000B7584" w:rsidRPr="00D1573C">
          <w:rPr>
            <w:rStyle w:val="Hyperlink"/>
          </w:rPr>
          <w:t>5.0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PIPING weight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_Toc122863428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6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9" w:history="1">
        <w:r w:rsidR="000B7584" w:rsidRPr="00D1573C">
          <w:rPr>
            <w:rStyle w:val="Hyperlink"/>
          </w:rPr>
          <w:t>6.0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SOIL PARAMETERS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_Toc122863429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7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30" w:history="1">
        <w:r w:rsidR="000B7584" w:rsidRPr="00D1573C">
          <w:rPr>
            <w:rStyle w:val="Hyperlink"/>
          </w:rPr>
          <w:t>7.0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LOADING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_Toc122863430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8</w:t>
        </w:r>
        <w:r w:rsidR="000B7584">
          <w:rPr>
            <w:webHidden/>
          </w:rPr>
          <w:fldChar w:fldCharType="end"/>
        </w:r>
      </w:hyperlink>
    </w:p>
    <w:p w:rsidR="000B7584" w:rsidRDefault="00F705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36" w:history="1">
        <w:r w:rsidR="000B7584" w:rsidRPr="00D1573C">
          <w:rPr>
            <w:rStyle w:val="Hyperlink"/>
          </w:rPr>
          <w:t>8.0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FOUNDATION ANALYsis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_Toc122863436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A902C7">
          <w:rPr>
            <w:webHidden/>
          </w:rPr>
          <w:t>9</w:t>
        </w:r>
        <w:r w:rsidR="000B7584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2286341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8314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22863420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4F17C7" w:rsidRPr="004F17C7" w:rsidRDefault="004F17C7" w:rsidP="004F17C7">
      <w:pPr>
        <w:tabs>
          <w:tab w:val="right" w:pos="10025"/>
          <w:tab w:val="right" w:pos="10115"/>
        </w:tabs>
        <w:wordWrap w:val="0"/>
        <w:snapToGrid w:val="0"/>
        <w:spacing w:before="240" w:after="240" w:line="300" w:lineRule="atLeast"/>
        <w:ind w:left="709" w:right="90"/>
        <w:jc w:val="right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4F17C7">
        <w:rPr>
          <w:rFonts w:ascii="Arial" w:hAnsi="Arial" w:cs="Arial"/>
          <w:snapToGrid w:val="0"/>
          <w:sz w:val="22"/>
          <w:szCs w:val="20"/>
          <w:lang w:val="en-GB" w:eastAsia="en-GB"/>
        </w:rPr>
        <w:t>This report covers the Sleeper Pipe Supports foundation Design . The structure modeled by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</w:t>
      </w:r>
      <w:r w:rsidRPr="004F17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“SAP” software.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55832" w:rsidRPr="00E508B2" w:rsidRDefault="000C3C86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22863421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D6803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22245668"/>
      <w:bookmarkStart w:id="22" w:name="_Toc122863422"/>
      <w:bookmarkStart w:id="23" w:name="_Toc325006576"/>
      <w:r w:rsidRPr="00E508B2">
        <w:t>Local Codes and Standards</w:t>
      </w:r>
      <w:bookmarkEnd w:id="18"/>
      <w:bookmarkEnd w:id="19"/>
      <w:bookmarkEnd w:id="20"/>
      <w:bookmarkEnd w:id="21"/>
      <w:bookmarkEnd w:id="22"/>
    </w:p>
    <w:p w:rsidR="004258F8" w:rsidRPr="004258F8" w:rsidRDefault="004258F8" w:rsidP="00AF3813">
      <w:pPr>
        <w:widowControl w:val="0"/>
        <w:numPr>
          <w:ilvl w:val="0"/>
          <w:numId w:val="6"/>
        </w:numPr>
        <w:tabs>
          <w:tab w:val="left" w:pos="1260"/>
          <w:tab w:val="left" w:pos="4820"/>
        </w:tabs>
        <w:bidi w:val="0"/>
        <w:spacing w:before="120" w:after="120"/>
        <w:ind w:left="4820" w:hanging="39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4" w:name="_Toc343001692"/>
      <w:bookmarkStart w:id="25" w:name="_Toc343327083"/>
      <w:bookmarkStart w:id="26" w:name="_Toc343327780"/>
      <w:r w:rsidRPr="004258F8">
        <w:rPr>
          <w:rFonts w:ascii="Arial" w:hAnsi="Arial" w:cs="Arial"/>
          <w:snapToGrid w:val="0"/>
          <w:sz w:val="22"/>
          <w:szCs w:val="20"/>
          <w:lang w:val="en-GB" w:eastAsia="en-GB"/>
        </w:rPr>
        <w:t>INBC Part 9                            Iranian National Building Code, Part 9 (4th Edition)</w:t>
      </w:r>
    </w:p>
    <w:p w:rsidR="004F17C7" w:rsidRPr="004258F8" w:rsidRDefault="004F17C7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258F8">
        <w:rPr>
          <w:rFonts w:ascii="Arial" w:hAnsi="Arial" w:cs="Arial"/>
          <w:snapToGrid w:val="0"/>
          <w:sz w:val="22"/>
          <w:szCs w:val="20"/>
          <w:lang w:val="en-GB" w:eastAsia="en-GB"/>
        </w:rPr>
        <w:t>Iranian Standard No.2800     Iranian Code of Practice for Seismic Resistant Design of                                                 Buildings (4th Edition)</w:t>
      </w:r>
    </w:p>
    <w:p w:rsidR="00855832" w:rsidRPr="00E508B2" w:rsidRDefault="00855832" w:rsidP="00ED6803">
      <w:pPr>
        <w:pStyle w:val="Heading2"/>
      </w:pPr>
      <w:bookmarkStart w:id="27" w:name="_Toc122245669"/>
      <w:bookmarkStart w:id="28" w:name="_Toc122863423"/>
      <w:r w:rsidRPr="00E508B2">
        <w:t>International Codes and Standards</w:t>
      </w:r>
      <w:bookmarkEnd w:id="24"/>
      <w:bookmarkEnd w:id="25"/>
      <w:bookmarkEnd w:id="26"/>
      <w:bookmarkEnd w:id="27"/>
      <w:bookmarkEnd w:id="28"/>
    </w:p>
    <w:p w:rsidR="0068207D" w:rsidRPr="0068207D" w:rsidRDefault="0068207D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>ACI 315</w:t>
      </w:r>
      <w:r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Manual of Standard Practice for Detailing Reinforced Concrete</w:t>
      </w:r>
    </w:p>
    <w:p w:rsidR="0068207D" w:rsidRPr="0068207D" w:rsidRDefault="0068207D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ACI 318      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                   </w:t>
      </w:r>
      <w:r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Building Code Requirements for Reinforced Concrete                                                                          </w:t>
      </w:r>
    </w:p>
    <w:p w:rsidR="00855832" w:rsidRPr="00B32163" w:rsidRDefault="00855832" w:rsidP="00ED6803">
      <w:pPr>
        <w:pStyle w:val="Heading2"/>
      </w:pPr>
      <w:bookmarkStart w:id="29" w:name="_Toc343001693"/>
      <w:bookmarkStart w:id="30" w:name="_Toc343327084"/>
      <w:bookmarkStart w:id="31" w:name="_Toc343327781"/>
      <w:bookmarkStart w:id="32" w:name="_Toc122245670"/>
      <w:bookmarkStart w:id="33" w:name="_Toc122863424"/>
      <w:r w:rsidRPr="00B32163">
        <w:t>The Project Documents</w:t>
      </w:r>
      <w:bookmarkEnd w:id="29"/>
      <w:bookmarkEnd w:id="30"/>
      <w:bookmarkEnd w:id="31"/>
      <w:bookmarkEnd w:id="32"/>
      <w:bookmarkEnd w:id="33"/>
    </w:p>
    <w:p w:rsidR="0068207D" w:rsidRPr="00EB202D" w:rsidRDefault="00ED0573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B202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BK-GCS-PEDCO-120-GT-RT-0001</w:t>
      </w:r>
      <w:r w:rsidR="00765EC9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</w:t>
      </w:r>
      <w:r w:rsidRPr="00EB202D">
        <w:rPr>
          <w:rFonts w:ascii="Arial" w:hAnsi="Arial" w:cs="Arial"/>
          <w:snapToGrid w:val="0"/>
          <w:sz w:val="22"/>
          <w:szCs w:val="20"/>
          <w:lang w:val="en-GB" w:eastAsia="en-GB"/>
        </w:rPr>
        <w:t>Geotechnical Investigation Report for Compressor Station</w:t>
      </w:r>
    </w:p>
    <w:p w:rsidR="0068207D" w:rsidRPr="00765EC9" w:rsidRDefault="00765EC9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765EC9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BK-GNRAL-PEDCO-000-ST-DC-0001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765EC9">
        <w:rPr>
          <w:rFonts w:ascii="Arial" w:hAnsi="Arial" w:cs="Arial"/>
          <w:snapToGrid w:val="0"/>
          <w:sz w:val="22"/>
          <w:szCs w:val="20"/>
          <w:lang w:val="en-GB" w:eastAsia="en-GB"/>
        </w:rPr>
        <w:t>Structural Design Criteria</w:t>
      </w:r>
    </w:p>
    <w:p w:rsidR="00765EC9" w:rsidRPr="00F221EF" w:rsidRDefault="00765EC9" w:rsidP="00765EC9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B32163" w:rsidRDefault="00855832" w:rsidP="00ED6803">
      <w:pPr>
        <w:pStyle w:val="Heading2"/>
      </w:pPr>
      <w:bookmarkStart w:id="34" w:name="_Toc341278664"/>
      <w:bookmarkStart w:id="35" w:name="_Toc341280195"/>
      <w:bookmarkStart w:id="36" w:name="_Toc343327085"/>
      <w:bookmarkStart w:id="37" w:name="_Toc343327782"/>
      <w:bookmarkStart w:id="38" w:name="_Toc122245671"/>
      <w:bookmarkStart w:id="39" w:name="_Toc122863425"/>
      <w:r w:rsidRPr="00B32163">
        <w:t>ENVIRONMENTAL DATA</w:t>
      </w:r>
      <w:bookmarkEnd w:id="34"/>
      <w:bookmarkEnd w:id="35"/>
      <w:bookmarkEnd w:id="36"/>
      <w:bookmarkEnd w:id="37"/>
      <w:bookmarkEnd w:id="38"/>
      <w:bookmarkEnd w:id="39"/>
    </w:p>
    <w:p w:rsidR="00855832" w:rsidRPr="00B32163" w:rsidRDefault="00855832" w:rsidP="00F01247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F01247">
        <w:rPr>
          <w:rFonts w:ascii="Arial" w:hAnsi="Arial" w:cs="Arial"/>
          <w:sz w:val="22"/>
          <w:szCs w:val="22"/>
          <w:lang w:bidi="fa-IR"/>
        </w:rPr>
        <w:t>Design; Doc. No. 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8A4B9D" w:rsidRPr="008A4B9D" w:rsidRDefault="008A4B9D" w:rsidP="00ED6803">
      <w:pPr>
        <w:pStyle w:val="Heading2"/>
      </w:pPr>
      <w:bookmarkStart w:id="40" w:name="_Toc83130850"/>
      <w:bookmarkStart w:id="41" w:name="_Toc83133994"/>
      <w:bookmarkStart w:id="42" w:name="_Toc83136016"/>
      <w:bookmarkStart w:id="43" w:name="_Toc122245672"/>
      <w:bookmarkStart w:id="44" w:name="_Toc122863426"/>
      <w:bookmarkEnd w:id="23"/>
      <w:r w:rsidRPr="008A4B9D">
        <w:t>Order of Precedence</w:t>
      </w:r>
      <w:bookmarkEnd w:id="40"/>
      <w:bookmarkEnd w:id="41"/>
      <w:bookmarkEnd w:id="42"/>
      <w:bookmarkEnd w:id="43"/>
      <w:bookmarkEnd w:id="44"/>
    </w:p>
    <w:p w:rsidR="00292627" w:rsidRDefault="002A5DF1" w:rsidP="002A5DF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Pr="00E71255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Pr="00F01247" w:rsidRDefault="00F01247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5" w:name="_Toc502646827"/>
      <w:bookmarkStart w:id="46" w:name="_Toc53529623"/>
      <w:bookmarkStart w:id="47" w:name="_Toc122863427"/>
      <w:r w:rsidRPr="00F01247">
        <w:rPr>
          <w:rFonts w:ascii="Arial" w:hAnsi="Arial" w:cs="Arial"/>
          <w:b/>
          <w:bCs/>
          <w:caps/>
          <w:kern w:val="28"/>
          <w:sz w:val="24"/>
        </w:rPr>
        <w:lastRenderedPageBreak/>
        <w:t>MATERIALS</w:t>
      </w:r>
      <w:bookmarkEnd w:id="45"/>
      <w:bookmarkEnd w:id="46"/>
      <w:bookmarkEnd w:id="47"/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01247">
        <w:rPr>
          <w:rFonts w:ascii="Arial" w:hAnsi="Arial" w:cs="Arial"/>
          <w:sz w:val="22"/>
          <w:szCs w:val="22"/>
          <w:lang w:bidi="fa-IR"/>
        </w:rPr>
        <w:t>Material properties are delivered in the following table.</w:t>
      </w:r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b/>
          <w:bCs/>
          <w:sz w:val="22"/>
          <w:szCs w:val="22"/>
          <w:lang w:bidi="fa-IR"/>
        </w:rPr>
      </w:pPr>
      <w:r w:rsidRPr="00F01247">
        <w:rPr>
          <w:rFonts w:ascii="Arial" w:hAnsi="Arial" w:cs="Arial"/>
          <w:b/>
          <w:bCs/>
          <w:sz w:val="22"/>
          <w:szCs w:val="22"/>
          <w:lang w:bidi="fa-IR"/>
        </w:rPr>
        <w:t>Material Properties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5701"/>
      </w:tblGrid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Foundation Concrete</w:t>
            </w:r>
          </w:p>
        </w:tc>
        <w:tc>
          <w:tcPr>
            <w:tcW w:w="5701" w:type="dxa"/>
            <w:shd w:val="clear" w:color="auto" w:fill="auto"/>
          </w:tcPr>
          <w:p w:rsidR="00F01247" w:rsidRPr="00F01247" w:rsidRDefault="00F01247" w:rsidP="00067595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F'c = </w:t>
            </w:r>
            <w:r w:rsidR="00067595">
              <w:rPr>
                <w:rFonts w:ascii="Arial" w:hAnsi="Arial" w:cs="Arial"/>
                <w:sz w:val="22"/>
                <w:szCs w:val="22"/>
                <w:lang w:bidi="fa-IR"/>
              </w:rPr>
              <w:t xml:space="preserve">300 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kg/cm</w:t>
            </w:r>
            <w:r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(28- day cylindrical sample)</w:t>
            </w:r>
          </w:p>
        </w:tc>
      </w:tr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Long. reinforcement bar</w:t>
            </w:r>
          </w:p>
        </w:tc>
        <w:tc>
          <w:tcPr>
            <w:tcW w:w="5701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Fy = 4000 kg/cm</w:t>
            </w:r>
            <w:r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(AIII)</w:t>
            </w:r>
          </w:p>
        </w:tc>
      </w:tr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ab/>
              <w:t>Trans. reinforcement bar</w:t>
            </w:r>
          </w:p>
        </w:tc>
        <w:tc>
          <w:tcPr>
            <w:tcW w:w="5701" w:type="dxa"/>
            <w:shd w:val="clear" w:color="auto" w:fill="auto"/>
            <w:vAlign w:val="bottom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Fy = 4000 kg/cm</w:t>
            </w:r>
            <w:r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(AIII)</w:t>
            </w:r>
          </w:p>
        </w:tc>
      </w:tr>
    </w:tbl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F01247" w:rsidRPr="00F01247" w:rsidRDefault="00F01247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8" w:name="_Toc502646831"/>
      <w:bookmarkStart w:id="49" w:name="_Toc53529624"/>
      <w:bookmarkStart w:id="50" w:name="_Toc122863428"/>
      <w:r w:rsidRPr="00F01247">
        <w:rPr>
          <w:rFonts w:ascii="Arial" w:hAnsi="Arial" w:cs="Arial"/>
          <w:b/>
          <w:bCs/>
          <w:caps/>
          <w:kern w:val="28"/>
          <w:sz w:val="24"/>
        </w:rPr>
        <w:t xml:space="preserve">PIPING </w:t>
      </w:r>
      <w:bookmarkEnd w:id="48"/>
      <w:r w:rsidRPr="00F01247">
        <w:rPr>
          <w:rFonts w:ascii="Arial" w:hAnsi="Arial" w:cs="Arial"/>
          <w:b/>
          <w:bCs/>
          <w:caps/>
          <w:kern w:val="28"/>
          <w:sz w:val="24"/>
        </w:rPr>
        <w:t>weight</w:t>
      </w:r>
      <w:bookmarkEnd w:id="49"/>
      <w:bookmarkEnd w:id="50"/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01247">
        <w:rPr>
          <w:rFonts w:ascii="Arial" w:hAnsi="Arial" w:cs="Arial"/>
          <w:sz w:val="22"/>
          <w:szCs w:val="22"/>
          <w:lang w:bidi="fa-IR"/>
        </w:rPr>
        <w:t>All load are received from PIPING department.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06"/>
        <w:gridCol w:w="1488"/>
        <w:gridCol w:w="1489"/>
        <w:gridCol w:w="1489"/>
        <w:gridCol w:w="1174"/>
        <w:gridCol w:w="1350"/>
        <w:gridCol w:w="889"/>
      </w:tblGrid>
      <w:tr w:rsidR="005509F3" w:rsidTr="000C2B6D">
        <w:tc>
          <w:tcPr>
            <w:tcW w:w="706" w:type="dxa"/>
            <w:vAlign w:val="center"/>
          </w:tcPr>
          <w:p w:rsidR="005509F3" w:rsidRDefault="005509F3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 w:rsidR="0018314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ype</w:t>
            </w:r>
          </w:p>
        </w:tc>
        <w:tc>
          <w:tcPr>
            <w:tcW w:w="1488" w:type="dxa"/>
            <w:vAlign w:val="center"/>
          </w:tcPr>
          <w:p w:rsidR="005509F3" w:rsidRPr="0018314C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Fz </w:t>
            </w:r>
            <w:r w:rsidRPr="0018314C">
              <w:rPr>
                <w:rFonts w:ascii="Arial" w:hAnsi="Arial" w:cs="Arial" w:hint="cs"/>
                <w:b/>
                <w:bCs/>
                <w:color w:val="000000"/>
                <w:szCs w:val="20"/>
                <w:lang w:val="en-GB"/>
              </w:rPr>
              <w:t>↓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en-GB"/>
              </w:rPr>
              <w:t xml:space="preserve">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489" w:type="dxa"/>
            <w:vAlign w:val="center"/>
          </w:tcPr>
          <w:p w:rsidR="005509F3" w:rsidRDefault="0018314C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(SIMPLE)</w:t>
            </w:r>
          </w:p>
        </w:tc>
        <w:tc>
          <w:tcPr>
            <w:tcW w:w="1489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ANCHOR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174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Fx </w:t>
            </w:r>
            <w:r w:rsidR="00067595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350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Fy </w:t>
            </w:r>
            <w:r w:rsidR="00067595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889" w:type="dxa"/>
            <w:vAlign w:val="center"/>
          </w:tcPr>
          <w:p w:rsidR="005509F3" w:rsidRDefault="0018314C" w:rsidP="008F7CF4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Length</w:t>
            </w:r>
            <w:r w:rsidR="008F7C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8F7CF4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(m)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320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280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560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1.7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1200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</w:t>
            </w:r>
          </w:p>
        </w:tc>
        <w:tc>
          <w:tcPr>
            <w:tcW w:w="1488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14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14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1350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</w:t>
            </w:r>
          </w:p>
        </w:tc>
        <w:tc>
          <w:tcPr>
            <w:tcW w:w="8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</w:tr>
    </w:tbl>
    <w:p w:rsidR="00F01247" w:rsidRDefault="00F01247" w:rsidP="00F01247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010AD" w:rsidRDefault="000010AD" w:rsidP="008539A9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010AD" w:rsidRPr="008539A9" w:rsidRDefault="000010AD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1" w:name="_Toc502646835"/>
      <w:bookmarkStart w:id="52" w:name="_Toc53529625"/>
      <w:bookmarkStart w:id="53" w:name="_Toc122863429"/>
      <w:r w:rsidRPr="000010AD">
        <w:rPr>
          <w:rFonts w:ascii="Arial" w:hAnsi="Arial" w:cs="Arial"/>
          <w:b/>
          <w:bCs/>
          <w:caps/>
          <w:kern w:val="28"/>
          <w:sz w:val="24"/>
        </w:rPr>
        <w:lastRenderedPageBreak/>
        <w:t>SOIL PARAMETERS</w:t>
      </w:r>
      <w:bookmarkEnd w:id="51"/>
      <w:bookmarkEnd w:id="52"/>
      <w:bookmarkEnd w:id="53"/>
    </w:p>
    <w:p w:rsidR="000010AD" w:rsidRPr="000010AD" w:rsidRDefault="000010AD" w:rsidP="000010A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10AD">
        <w:rPr>
          <w:rFonts w:ascii="Arial" w:hAnsi="Arial" w:cs="Arial"/>
          <w:sz w:val="22"/>
          <w:szCs w:val="22"/>
          <w:lang w:bidi="fa-IR"/>
        </w:rPr>
        <w:t xml:space="preserve">According to Soil Investigation Report, prepared by </w:t>
      </w:r>
      <w:r>
        <w:rPr>
          <w:rFonts w:ascii="Arial" w:hAnsi="Arial" w:cs="Arial"/>
          <w:sz w:val="22"/>
          <w:szCs w:val="22"/>
          <w:lang w:bidi="fa-IR"/>
        </w:rPr>
        <w:t>BKP</w:t>
      </w:r>
      <w:r w:rsidRPr="000010AD">
        <w:rPr>
          <w:rFonts w:ascii="Arial" w:hAnsi="Arial" w:cs="Arial"/>
          <w:sz w:val="22"/>
          <w:szCs w:val="22"/>
          <w:lang w:bidi="fa-IR"/>
        </w:rPr>
        <w:t>:</w:t>
      </w:r>
    </w:p>
    <w:p w:rsidR="00830091" w:rsidRDefault="007B7D0E" w:rsidP="007B7D0E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17775D9" wp14:editId="0EF0EBE3">
            <wp:extent cx="4476466" cy="1275582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604" cy="1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9" w:rsidRDefault="00212809" w:rsidP="000C2B6D">
      <w:pPr>
        <w:widowControl w:val="0"/>
        <w:tabs>
          <w:tab w:val="left" w:pos="1980"/>
          <w:tab w:val="left" w:pos="8820"/>
        </w:tabs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4DF76720" wp14:editId="273C0D2B">
            <wp:extent cx="4433776" cy="128502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169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CF1">
        <w:rPr>
          <w:noProof/>
        </w:rPr>
        <w:drawing>
          <wp:inline distT="0" distB="0" distL="0" distR="0" wp14:anchorId="1C2DBD01" wp14:editId="21B89C9E">
            <wp:extent cx="5355771" cy="44651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0954" cy="44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9" w:rsidRPr="008539A9" w:rsidRDefault="008539A9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4" w:name="_Toc53529626"/>
      <w:bookmarkStart w:id="55" w:name="_Toc122863430"/>
      <w:r w:rsidRPr="008539A9">
        <w:rPr>
          <w:rFonts w:ascii="Arial" w:hAnsi="Arial" w:cs="Arial"/>
          <w:b/>
          <w:bCs/>
          <w:caps/>
          <w:kern w:val="28"/>
          <w:sz w:val="24"/>
        </w:rPr>
        <w:lastRenderedPageBreak/>
        <w:t>LOADING</w:t>
      </w:r>
      <w:bookmarkEnd w:id="54"/>
      <w:bookmarkEnd w:id="55"/>
    </w:p>
    <w:p w:rsidR="008539A9" w:rsidRDefault="008539A9" w:rsidP="00ED6803">
      <w:pPr>
        <w:pStyle w:val="Heading2"/>
      </w:pPr>
      <w:bookmarkStart w:id="56" w:name="_Toc53529627"/>
      <w:bookmarkStart w:id="57" w:name="_Toc122245677"/>
      <w:bookmarkStart w:id="58" w:name="_Toc122863431"/>
      <w:r w:rsidRPr="008539A9">
        <w:t>Dead Load</w:t>
      </w:r>
      <w:bookmarkEnd w:id="56"/>
      <w:bookmarkEnd w:id="57"/>
      <w:bookmarkEnd w:id="58"/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Dead load of pipes according to piping documents assign in model.</w:t>
      </w:r>
    </w:p>
    <w:p w:rsidR="008539A9" w:rsidRPr="008539A9" w:rsidRDefault="008539A9" w:rsidP="00ED6803">
      <w:pPr>
        <w:pStyle w:val="Heading2"/>
      </w:pPr>
      <w:bookmarkStart w:id="59" w:name="_Toc53529628"/>
      <w:bookmarkStart w:id="60" w:name="_Toc122245678"/>
      <w:bookmarkStart w:id="61" w:name="_Toc122863432"/>
      <w:r w:rsidRPr="008539A9">
        <w:t>Live Load</w:t>
      </w:r>
      <w:bookmarkEnd w:id="59"/>
      <w:bookmarkEnd w:id="60"/>
      <w:bookmarkEnd w:id="61"/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Live load (operation) of Equipment according to piping documents assign in model.</w:t>
      </w:r>
    </w:p>
    <w:p w:rsidR="008539A9" w:rsidRPr="008539A9" w:rsidRDefault="008539A9" w:rsidP="00ED6803">
      <w:pPr>
        <w:pStyle w:val="Heading2"/>
      </w:pPr>
      <w:bookmarkStart w:id="62" w:name="_Toc53529629"/>
      <w:bookmarkStart w:id="63" w:name="_Toc122245679"/>
      <w:bookmarkStart w:id="64" w:name="_Toc122863433"/>
      <w:r w:rsidRPr="008539A9">
        <w:t>Seismic Load</w:t>
      </w:r>
      <w:bookmarkEnd w:id="62"/>
      <w:bookmarkEnd w:id="63"/>
      <w:bookmarkEnd w:id="64"/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Seismic load (occasional) of Equipment according to piping documents assign in model.</w:t>
      </w:r>
    </w:p>
    <w:p w:rsidR="008539A9" w:rsidRPr="008539A9" w:rsidRDefault="008539A9" w:rsidP="00ED6803">
      <w:pPr>
        <w:pStyle w:val="Heading2"/>
      </w:pPr>
      <w:bookmarkStart w:id="65" w:name="_Toc53529630"/>
      <w:bookmarkStart w:id="66" w:name="_Toc122245680"/>
      <w:bookmarkStart w:id="67" w:name="_Toc122863434"/>
      <w:r w:rsidRPr="008539A9">
        <w:t>Wind Load</w:t>
      </w:r>
      <w:bookmarkEnd w:id="65"/>
      <w:bookmarkEnd w:id="66"/>
      <w:bookmarkEnd w:id="67"/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Wind load is not applicable for pipe support foundation.</w:t>
      </w:r>
    </w:p>
    <w:p w:rsidR="008539A9" w:rsidRPr="008539A9" w:rsidRDefault="008539A9" w:rsidP="00ED6803">
      <w:pPr>
        <w:pStyle w:val="Heading2"/>
      </w:pPr>
      <w:bookmarkStart w:id="68" w:name="_Toc53529631"/>
      <w:bookmarkStart w:id="69" w:name="_Toc122245681"/>
      <w:bookmarkStart w:id="70" w:name="_Toc122863435"/>
      <w:r w:rsidRPr="008539A9">
        <w:t>LOAD COMBINITION FOR DESIGN</w:t>
      </w:r>
      <w:bookmarkEnd w:id="68"/>
      <w:bookmarkEnd w:id="69"/>
      <w:bookmarkEnd w:id="70"/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According to AISC structures, components, and foundations shall be designed, so that their design strength equals or exceeds that effect of factored loads in the following combination: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1.4(D+F)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1.2(D+T+F) +1.6(L+H)+0.5(S) 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1.2D+1.6(S) + (L)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1.2D+L+0.5( S)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1.2(D+F)+1.0E+L+1.6(H)+0.2S</w:t>
      </w:r>
    </w:p>
    <w:p w:rsid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0.9D+1.0E+1.2F+1.6H</w:t>
      </w:r>
    </w:p>
    <w:p w:rsidR="00830091" w:rsidRPr="008539A9" w:rsidRDefault="00830091" w:rsidP="00830091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Load listed herein shall be considered to act in the following combinations; whichever produces the most unfavorable effect considering soil reactions.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D+L+T+H+F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D+F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D+H+F+S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D+H+F+0.75(L+T)+0.75(S)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D+H+F+(0.7E)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D+H+F+0.75(0.7E)+0.75L+0.75(S)</w:t>
      </w:r>
    </w:p>
    <w:p w:rsidR="008539A9" w:rsidRPr="008539A9" w:rsidRDefault="008539A9" w:rsidP="008539A9">
      <w:pPr>
        <w:widowControl w:val="0"/>
        <w:numPr>
          <w:ilvl w:val="0"/>
          <w:numId w:val="19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539A9">
        <w:rPr>
          <w:rFonts w:ascii="Arial" w:hAnsi="Arial" w:cs="Arial"/>
          <w:snapToGrid w:val="0"/>
          <w:sz w:val="22"/>
          <w:szCs w:val="20"/>
          <w:lang w:val="en-GB" w:eastAsia="en-GB"/>
        </w:rPr>
        <w:t>0.6D+0.7E+H</w:t>
      </w:r>
    </w:p>
    <w:p w:rsidR="008539A9" w:rsidRPr="008539A9" w:rsidRDefault="008539A9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1" w:name="_Toc53529632"/>
      <w:bookmarkStart w:id="72" w:name="_Toc122863436"/>
      <w:r w:rsidRPr="008539A9">
        <w:rPr>
          <w:rFonts w:ascii="Arial" w:hAnsi="Arial" w:cs="Arial"/>
          <w:b/>
          <w:bCs/>
          <w:caps/>
          <w:kern w:val="28"/>
          <w:sz w:val="24"/>
        </w:rPr>
        <w:lastRenderedPageBreak/>
        <w:t>FOUNDATION ANALYsis</w:t>
      </w:r>
      <w:bookmarkEnd w:id="71"/>
      <w:bookmarkEnd w:id="72"/>
    </w:p>
    <w:p w:rsidR="008539A9" w:rsidRDefault="008539A9" w:rsidP="008320D0">
      <w:pPr>
        <w:pStyle w:val="Heading2"/>
      </w:pPr>
      <w:bookmarkStart w:id="73" w:name="_Toc53529633"/>
      <w:bookmarkStart w:id="74" w:name="_Toc122245683"/>
      <w:bookmarkStart w:id="75" w:name="_Toc122863437"/>
      <w:r w:rsidRPr="008539A9">
        <w:t>sleeper type</w:t>
      </w:r>
      <w:r w:rsidR="00D65160">
        <w:t xml:space="preserve"> </w:t>
      </w:r>
      <w:bookmarkEnd w:id="73"/>
      <w:bookmarkEnd w:id="74"/>
      <w:bookmarkEnd w:id="75"/>
      <w:r w:rsidR="008320D0">
        <w:t>A</w:t>
      </w:r>
    </w:p>
    <w:p w:rsidR="00A07AB9" w:rsidRPr="00ED6803" w:rsidRDefault="00ED6803" w:rsidP="00ED6803">
      <w:pPr>
        <w:pStyle w:val="Heading2"/>
        <w:numPr>
          <w:ilvl w:val="0"/>
          <w:numId w:val="19"/>
        </w:numPr>
      </w:pPr>
      <w:bookmarkStart w:id="76" w:name="_Toc53529634"/>
      <w:r>
        <w:rPr>
          <w:rFonts w:asciiTheme="minorBidi" w:hAnsiTheme="minorBidi" w:cstheme="minorBidi"/>
        </w:rPr>
        <w:t xml:space="preserve"> </w:t>
      </w:r>
      <w:bookmarkStart w:id="77" w:name="_Toc122863438"/>
      <w:r w:rsidRPr="00ED6803">
        <w:t>piping load data</w:t>
      </w:r>
      <w:bookmarkEnd w:id="76"/>
      <w:bookmarkEnd w:id="77"/>
    </w:p>
    <w:p w:rsidR="00A07AB9" w:rsidRPr="00A07AB9" w:rsidRDefault="00A07AB9" w:rsidP="00A07AB9">
      <w:pPr>
        <w:rPr>
          <w:lang w:val="en-GB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0"/>
        <w:gridCol w:w="1488"/>
        <w:gridCol w:w="1489"/>
        <w:gridCol w:w="1489"/>
        <w:gridCol w:w="1264"/>
        <w:gridCol w:w="1350"/>
        <w:gridCol w:w="990"/>
      </w:tblGrid>
      <w:tr w:rsidR="00D65160" w:rsidTr="000C2B6D">
        <w:tc>
          <w:tcPr>
            <w:tcW w:w="93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</w:t>
            </w:r>
          </w:p>
        </w:tc>
        <w:tc>
          <w:tcPr>
            <w:tcW w:w="1488" w:type="dxa"/>
            <w:vAlign w:val="center"/>
          </w:tcPr>
          <w:p w:rsidR="00D65160" w:rsidRPr="0018314C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Fz </w:t>
            </w:r>
            <w:r w:rsidRPr="0018314C">
              <w:rPr>
                <w:rFonts w:ascii="Arial" w:hAnsi="Arial" w:cs="Arial" w:hint="cs"/>
                <w:b/>
                <w:bCs/>
                <w:color w:val="000000"/>
                <w:szCs w:val="20"/>
                <w:lang w:val="en-GB"/>
              </w:rPr>
              <w:t>↓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en-GB"/>
              </w:rPr>
              <w:t xml:space="preserve">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489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(SIMPLE)</w:t>
            </w:r>
          </w:p>
        </w:tc>
        <w:tc>
          <w:tcPr>
            <w:tcW w:w="1489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ANCHOR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64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Fx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35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Fy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99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Length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(m)</w:t>
            </w:r>
          </w:p>
        </w:tc>
      </w:tr>
      <w:tr w:rsidR="000C2B6D" w:rsidTr="000C2B6D">
        <w:tc>
          <w:tcPr>
            <w:tcW w:w="930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488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1489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1489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264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160</w:t>
            </w:r>
          </w:p>
        </w:tc>
        <w:tc>
          <w:tcPr>
            <w:tcW w:w="1350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320</w:t>
            </w:r>
          </w:p>
        </w:tc>
        <w:tc>
          <w:tcPr>
            <w:tcW w:w="990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</w:tr>
    </w:tbl>
    <w:p w:rsidR="008539A9" w:rsidRDefault="00501E07" w:rsidP="004B5D5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8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6FE39FB9" wp14:editId="0A737F09">
            <wp:extent cx="6007040" cy="3848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2128" cy="38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E3" w:rsidRPr="00A95EE3" w:rsidRDefault="00A95EE3" w:rsidP="00A95EE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>FIGURE 1-</w:t>
      </w:r>
      <w:r>
        <w:rPr>
          <w:rFonts w:ascii="Arial" w:hAnsi="Arial" w:cs="Arial"/>
          <w:sz w:val="22"/>
          <w:szCs w:val="22"/>
          <w:lang w:bidi="fa-IR"/>
        </w:rPr>
        <w:t xml:space="preserve">OPE </w:t>
      </w:r>
      <w:r w:rsidRPr="00A95EE3">
        <w:rPr>
          <w:rFonts w:ascii="Arial" w:hAnsi="Arial" w:cs="Arial"/>
          <w:sz w:val="22"/>
          <w:szCs w:val="22"/>
          <w:lang w:bidi="fa-IR"/>
        </w:rPr>
        <w:t xml:space="preserve"> 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A95EE3" w:rsidRDefault="00812027" w:rsidP="00A95EE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lastRenderedPageBreak/>
        <w:drawing>
          <wp:inline distT="0" distB="0" distL="0" distR="0" wp14:anchorId="0BDD3571" wp14:editId="4057FA3B">
            <wp:extent cx="5943600" cy="29629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Pr="00A95EE3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 xml:space="preserve">FIGURE </w:t>
      </w:r>
      <w:r>
        <w:rPr>
          <w:rFonts w:ascii="Arial" w:hAnsi="Arial" w:cs="Arial"/>
          <w:sz w:val="22"/>
          <w:szCs w:val="22"/>
          <w:lang w:bidi="fa-IR"/>
        </w:rPr>
        <w:t>2</w:t>
      </w:r>
      <w:r w:rsidRPr="00A95EE3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OCCX </w:t>
      </w:r>
      <w:r w:rsidRPr="00A95EE3">
        <w:rPr>
          <w:rFonts w:ascii="Arial" w:hAnsi="Arial" w:cs="Arial"/>
          <w:sz w:val="22"/>
          <w:szCs w:val="22"/>
          <w:lang w:bidi="fa-IR"/>
        </w:rPr>
        <w:t>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812027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0A277C88" wp14:editId="27E131BE">
            <wp:extent cx="5112515" cy="3420093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342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 xml:space="preserve">FIGURE </w:t>
      </w:r>
      <w:r>
        <w:rPr>
          <w:rFonts w:ascii="Arial" w:hAnsi="Arial" w:cs="Arial"/>
          <w:sz w:val="22"/>
          <w:szCs w:val="22"/>
          <w:lang w:bidi="fa-IR"/>
        </w:rPr>
        <w:t>3</w:t>
      </w:r>
      <w:r w:rsidRPr="00A95EE3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OCCY </w:t>
      </w:r>
      <w:r w:rsidRPr="00A95EE3">
        <w:rPr>
          <w:rFonts w:ascii="Arial" w:hAnsi="Arial" w:cs="Arial"/>
          <w:sz w:val="22"/>
          <w:szCs w:val="22"/>
          <w:lang w:bidi="fa-IR"/>
        </w:rPr>
        <w:t>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A07AB9" w:rsidRDefault="00A07AB9" w:rsidP="00A07AB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</w:p>
    <w:p w:rsidR="00A07AB9" w:rsidRDefault="00A07AB9" w:rsidP="00ED6803">
      <w:pPr>
        <w:pStyle w:val="Heading2"/>
        <w:numPr>
          <w:ilvl w:val="0"/>
          <w:numId w:val="19"/>
        </w:numPr>
      </w:pPr>
      <w:bookmarkStart w:id="78" w:name="_Toc53529636"/>
      <w:bookmarkStart w:id="79" w:name="_Toc122863439"/>
      <w:r>
        <w:lastRenderedPageBreak/>
        <w:t>wall design</w:t>
      </w:r>
      <w:bookmarkEnd w:id="78"/>
      <w:bookmarkEnd w:id="79"/>
    </w:p>
    <w:p w:rsidR="00ED6803" w:rsidRPr="00ED6803" w:rsidRDefault="00ED6803" w:rsidP="00ED6803">
      <w:pPr>
        <w:spacing w:after="100" w:line="288" w:lineRule="auto"/>
        <w:ind w:left="1080" w:right="1440" w:firstLine="450"/>
        <w:jc w:val="lowKashida"/>
        <w:outlineLvl w:val="0"/>
        <w:rPr>
          <w:rFonts w:asciiTheme="minorBidi" w:hAnsiTheme="minorBidi" w:cstheme="minorBidi"/>
          <w:sz w:val="22"/>
          <w:szCs w:val="28"/>
        </w:rPr>
      </w:pPr>
      <w:bookmarkStart w:id="80" w:name="_Toc491505285"/>
      <w:bookmarkStart w:id="81" w:name="_Toc503773869"/>
      <w:bookmarkStart w:id="82" w:name="_Toc512769424"/>
      <w:bookmarkStart w:id="83" w:name="_Toc42260775"/>
      <w:bookmarkStart w:id="84" w:name="_Toc53529637"/>
      <w:bookmarkStart w:id="85" w:name="_Toc122863440"/>
      <m:oMathPara>
        <m:oMathParaPr>
          <m:jc m:val="left"/>
        </m:oMathParaPr>
        <m:oMath>
          <m:r>
            <w:rPr>
              <w:rFonts w:ascii="Cambria Math" w:hAnsi="Cambria Math" w:cstheme="minorBidi"/>
              <w:sz w:val="22"/>
              <w:szCs w:val="28"/>
            </w:rPr>
            <m:t>wall thickness=300 mm</m:t>
          </m:r>
        </m:oMath>
      </m:oMathPara>
      <w:bookmarkEnd w:id="80"/>
      <w:bookmarkEnd w:id="81"/>
      <w:bookmarkEnd w:id="82"/>
      <w:bookmarkEnd w:id="83"/>
      <w:bookmarkEnd w:id="84"/>
      <w:bookmarkEnd w:id="85"/>
    </w:p>
    <w:p w:rsidR="00ED6803" w:rsidRPr="00ED6803" w:rsidRDefault="00ED6803" w:rsidP="003E1BC8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/>
          <w:i/>
          <w:sz w:val="22"/>
          <w:szCs w:val="26"/>
        </w:rPr>
      </w:pPr>
      <w:bookmarkStart w:id="86" w:name="_Toc491505286"/>
      <w:bookmarkStart w:id="87" w:name="_Toc503773870"/>
      <w:bookmarkStart w:id="88" w:name="_Toc512769425"/>
      <w:bookmarkStart w:id="89" w:name="_Toc42260776"/>
      <w:bookmarkStart w:id="90" w:name="_Toc53529638"/>
      <w:bookmarkStart w:id="91" w:name="_Toc122863441"/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6"/>
            </w:rPr>
            <m:t xml:space="preserve">according to sap model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6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  <w:szCs w:val="26"/>
                </w:rPr>
                <m:t>max</m:t>
              </m:r>
            </m:sub>
          </m:sSub>
          <m:r>
            <w:rPr>
              <w:rFonts w:ascii="Cambria Math" w:hAnsi="Cambria Math"/>
              <w:sz w:val="22"/>
              <w:szCs w:val="26"/>
            </w:rPr>
            <m:t>=1.15  ton.m</m:t>
          </m:r>
          <w:bookmarkEnd w:id="86"/>
          <w:bookmarkEnd w:id="87"/>
          <w:bookmarkEnd w:id="88"/>
          <w:bookmarkEnd w:id="89"/>
          <w:bookmarkEnd w:id="90"/>
          <w:bookmarkEnd w:id="91"/>
          <m:r>
            <w:rPr>
              <w:rFonts w:ascii="Cambria Math" w:hAnsi="Cambria Math"/>
              <w:sz w:val="22"/>
              <w:szCs w:val="26"/>
            </w:rPr>
            <m:t xml:space="preserve">  </m:t>
          </m:r>
        </m:oMath>
      </m:oMathPara>
    </w:p>
    <w:p w:rsidR="00ED6803" w:rsidRDefault="00ED6803" w:rsidP="00ED6803">
      <w:pPr>
        <w:rPr>
          <w:lang w:val="en-GB"/>
        </w:rPr>
      </w:pPr>
    </w:p>
    <w:p w:rsidR="00ED6803" w:rsidRDefault="003E1BC8" w:rsidP="00ED6803">
      <w:pPr>
        <w:rPr>
          <w:lang w:val="en-GB"/>
        </w:rPr>
      </w:pPr>
      <w:r>
        <w:rPr>
          <w:noProof/>
        </w:rPr>
        <w:drawing>
          <wp:inline distT="0" distB="0" distL="0" distR="0" wp14:anchorId="4D207C62" wp14:editId="0A728791">
            <wp:extent cx="5943600" cy="22218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C8" w:rsidRDefault="003E1BC8" w:rsidP="00ED6803">
      <w:pPr>
        <w:rPr>
          <w:lang w:val="en-GB"/>
        </w:rPr>
      </w:pPr>
    </w:p>
    <w:p w:rsidR="00593F02" w:rsidRPr="00C24497" w:rsidRDefault="00593F02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="Cambria Math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22"/>
              <w:szCs w:val="28"/>
              <w:rtl/>
            </w:rPr>
            <m:t>∅</m:t>
          </m:r>
          <m:r>
            <w:rPr>
              <w:rFonts w:ascii="Cambria Math" w:hAnsi="Cambria Math" w:cs="Cambria Math"/>
              <w:sz w:val="22"/>
              <w:szCs w:val="28"/>
            </w:rPr>
            <m:t>16@200mm→As=1005m</m:t>
          </m:r>
          <m:sSup>
            <m:sSup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sSupPr>
            <m:e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Cambria Math"/>
                  <w:sz w:val="22"/>
                  <w:szCs w:val="28"/>
                </w:rPr>
                <m:t>2</m:t>
              </m:r>
            </m:sup>
          </m:sSup>
          <m:r>
            <w:rPr>
              <w:rFonts w:ascii="Cambria Math" w:hAnsi="Cambria Math" w:cs="Cambria Math"/>
              <w:sz w:val="22"/>
              <w:szCs w:val="28"/>
            </w:rPr>
            <m:t>/m</m:t>
          </m:r>
        </m:oMath>
      </m:oMathPara>
    </w:p>
    <w:p w:rsidR="00411DA7" w:rsidRDefault="00411DA7" w:rsidP="00A51293">
      <w:pPr>
        <w:spacing w:after="100" w:line="288" w:lineRule="auto"/>
        <w:ind w:left="1080" w:right="1170" w:firstLine="450"/>
        <w:jc w:val="right"/>
        <w:outlineLvl w:val="0"/>
        <w:rPr>
          <w:rFonts w:ascii="Arial" w:hAnsi="Arial"/>
        </w:rPr>
      </w:pPr>
      <w:r w:rsidRPr="00C24497">
        <w:rPr>
          <w:rFonts w:ascii="Cambria Math" w:hAnsi="Cambria Math" w:cs="Cambria Math"/>
          <w:i/>
          <w:sz w:val="22"/>
          <w:szCs w:val="28"/>
        </w:rPr>
        <w:object w:dxaOrig="3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4.25pt" o:ole="">
            <v:imagedata r:id="rId15" o:title=""/>
          </v:shape>
          <o:OLEObject Type="Embed" ProgID="Equation.3" ShapeID="_x0000_i1025" DrawAspect="Content" ObjectID="_1734852739" r:id="rId16"/>
        </w:object>
      </w:r>
    </w:p>
    <w:p w:rsidR="00593F02" w:rsidRDefault="00763623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  <m:oMath>
        <m:r>
          <w:rPr>
            <w:rFonts w:ascii="Cambria Math" w:hAnsi="Cambria Math" w:cs="Cambria Math"/>
            <w:sz w:val="22"/>
            <w:szCs w:val="28"/>
          </w:rPr>
          <m:t>m=fy/(0.85×fc)=4000/(0.85×300)=</m:t>
        </m:r>
      </m:oMath>
      <w:r w:rsidR="00C24497" w:rsidRPr="00C24497">
        <w:rPr>
          <w:rFonts w:ascii="Cambria Math" w:hAnsi="Cambria Math" w:cstheme="minorBidi"/>
          <w:i/>
          <w:sz w:val="22"/>
          <w:szCs w:val="28"/>
        </w:rPr>
        <w:t>15.68</w:t>
      </w:r>
    </w:p>
    <w:p w:rsidR="00C24497" w:rsidRPr="00C24497" w:rsidRDefault="00C24497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</w:rPr>
            <m:t>ρ=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As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b×d</m:t>
              </m:r>
            </m:den>
          </m:f>
          <m:r>
            <w:rPr>
              <w:rFonts w:ascii="Cambria Math" w:hAnsi="Cambria Math" w:cs="Cambria Math"/>
              <w:sz w:val="22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1005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1000×401</m:t>
              </m:r>
            </m:den>
          </m:f>
          <m:r>
            <w:rPr>
              <w:rFonts w:ascii="Cambria Math" w:hAnsi="Cambria Math" w:cs="Cambria Math"/>
              <w:sz w:val="22"/>
              <w:szCs w:val="28"/>
            </w:rPr>
            <m:t>=0.0025</m:t>
          </m:r>
        </m:oMath>
      </m:oMathPara>
    </w:p>
    <w:p w:rsidR="00D26709" w:rsidRPr="00C24497" w:rsidRDefault="00D26709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</w:rPr>
            <m:t>ρ=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den>
          </m:f>
          <m:r>
            <w:rPr>
              <w:rFonts w:ascii="Cambria Math" w:hAnsi="Cambria Math" w:cs="Cambria Math"/>
              <w:sz w:val="22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dPr>
            <m:e>
              <m:r>
                <w:rPr>
                  <w:rFonts w:ascii="Cambria Math" w:hAnsi="Cambria Math" w:cs="Cambria Math"/>
                  <w:sz w:val="22"/>
                  <w:szCs w:val="28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</w:rPr>
                        <m:t>2×m×Rn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</w:rPr>
                        <m:t>fy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Cambria Math"/>
              <w:sz w:val="22"/>
              <w:szCs w:val="28"/>
            </w:rPr>
            <m:t>=1/15.68×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dPr>
            <m:e>
              <m:r>
                <w:rPr>
                  <w:rFonts w:ascii="Cambria Math" w:hAnsi="Cambria Math" w:cs="Cambria Math"/>
                  <w:sz w:val="22"/>
                  <w:szCs w:val="28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</w:rPr>
                        <m:t>2×15.68×Rn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</w:rPr>
                        <m:t>4000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Cambria Math"/>
              <w:sz w:val="22"/>
              <w:szCs w:val="28"/>
            </w:rPr>
            <m:t>=0.0025</m:t>
          </m:r>
        </m:oMath>
      </m:oMathPara>
    </w:p>
    <w:p w:rsidR="00411DA7" w:rsidRPr="00B61780" w:rsidRDefault="00B61780" w:rsidP="00A51293">
      <w:pPr>
        <w:ind w:left="720" w:right="1170"/>
        <w:jc w:val="right"/>
        <w:rPr>
          <w:rFonts w:ascii="Arial" w:hAnsi="Arial"/>
          <w:position w:val="-6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</w:rPr>
            <m:t>Rn=9.80</m:t>
          </m:r>
        </m:oMath>
      </m:oMathPara>
    </w:p>
    <w:p w:rsidR="00411DA7" w:rsidRPr="00A51293" w:rsidRDefault="00B61780" w:rsidP="00A51293">
      <w:pPr>
        <w:ind w:left="720" w:right="1170"/>
        <w:jc w:val="right"/>
        <w:rPr>
          <w:rFonts w:ascii="Arial" w:hAnsi="Arial"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</w:rPr>
            <m:t>Rn=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Mn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b×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  <w:sz w:val="22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Mn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100×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40.1</m:t>
                  </m:r>
                </m:e>
                <m:sup>
                  <m:r>
                    <w:rPr>
                      <w:rFonts w:ascii="Cambria Math" w:hAnsi="Cambria Math" w:cs="Cambria Math"/>
                      <w:sz w:val="22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  <w:sz w:val="22"/>
              <w:szCs w:val="28"/>
            </w:rPr>
            <m:t>=9.80→Mn=15.76 Ton.-</m:t>
          </m:r>
          <m:f>
            <m:fPr>
              <m:type m:val="skw"/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den>
          </m:f>
        </m:oMath>
      </m:oMathPara>
    </w:p>
    <w:p w:rsidR="00A51293" w:rsidRPr="00B61780" w:rsidRDefault="00A51293" w:rsidP="00A51293">
      <w:pPr>
        <w:ind w:left="720" w:right="1170"/>
        <w:jc w:val="right"/>
        <w:rPr>
          <w:rFonts w:ascii="Arial" w:hAnsi="Arial"/>
          <w:position w:val="-6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</w:rPr>
            <m:t>Mn=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Mu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0.9</m:t>
              </m:r>
            </m:den>
          </m:f>
          <m:r>
            <w:rPr>
              <w:rFonts w:ascii="Cambria Math" w:hAnsi="Cambria Math" w:cs="Cambria Math"/>
              <w:sz w:val="22"/>
              <w:szCs w:val="28"/>
            </w:rPr>
            <m:t>=15.76→Mu=14.18 Ton-</m:t>
          </m:r>
          <m:f>
            <m:fPr>
              <m:type m:val="skw"/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den>
          </m:f>
        </m:oMath>
      </m:oMathPara>
    </w:p>
    <w:p w:rsidR="005105D4" w:rsidRPr="005105D4" w:rsidRDefault="005105D4" w:rsidP="00A51293">
      <w:pPr>
        <w:spacing w:after="100" w:line="288" w:lineRule="auto"/>
        <w:ind w:left="108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3E1BC8" w:rsidRPr="005105D4" w:rsidRDefault="003E1BC8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5105D4" w:rsidRDefault="005105D4" w:rsidP="00587C31">
      <w:pPr>
        <w:pStyle w:val="Heading2"/>
        <w:numPr>
          <w:ilvl w:val="0"/>
          <w:numId w:val="19"/>
        </w:numPr>
      </w:pPr>
      <w:bookmarkStart w:id="92" w:name="_Toc122863457"/>
      <w:r w:rsidRPr="00F76DC5">
        <w:lastRenderedPageBreak/>
        <w:t>check of stress &amp; settlement for foundation (</w:t>
      </w:r>
      <w:r w:rsidR="00587C31">
        <w:t>500</w:t>
      </w:r>
      <w:r w:rsidRPr="00F76DC5">
        <w:t>x</w:t>
      </w:r>
      <w:r w:rsidR="00587C31">
        <w:t>150</w:t>
      </w:r>
      <w:r w:rsidRPr="00F76DC5">
        <w:t>x</w:t>
      </w:r>
      <w:r w:rsidR="00587C31">
        <w:t>40)</w:t>
      </w:r>
      <w:bookmarkEnd w:id="92"/>
    </w:p>
    <w:p w:rsidR="005105D4" w:rsidRDefault="0064548A" w:rsidP="0064548A">
      <w:pPr>
        <w:spacing w:after="100" w:line="288" w:lineRule="auto"/>
        <w:ind w:left="1080" w:right="144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  <w:r>
        <w:rPr>
          <w:noProof/>
        </w:rPr>
        <w:drawing>
          <wp:inline distT="0" distB="0" distL="0" distR="0" wp14:anchorId="319F8EDC" wp14:editId="78AFDB03">
            <wp:extent cx="5400675" cy="2540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983FE4">
        <w:rPr>
          <w:b w:val="0"/>
          <w:bCs/>
        </w:rPr>
        <w:t>figure 4.stress diagram for foundation</w:t>
      </w:r>
    </w:p>
    <w:p w:rsidR="005105D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</w:p>
    <w:p w:rsidR="005105D4" w:rsidRPr="009A25A3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  <w:sz w:val="18"/>
          <w:szCs w:val="18"/>
        </w:rPr>
      </w:pPr>
    </w:p>
    <w:p w:rsidR="005105D4" w:rsidRPr="003E1BC8" w:rsidRDefault="005105D4" w:rsidP="0064548A">
      <w:pPr>
        <w:spacing w:line="360" w:lineRule="auto"/>
        <w:ind w:left="284" w:right="450"/>
        <w:jc w:val="right"/>
        <w:rPr>
          <w:rFonts w:ascii="Cambria Math" w:hAnsi="Cambria Math" w:cstheme="minorBidi"/>
          <w:i/>
          <w:sz w:val="22"/>
          <w:szCs w:val="28"/>
        </w:rPr>
      </w:pPr>
      <w:r w:rsidRPr="003E1BC8">
        <w:rPr>
          <w:rFonts w:ascii="Cambria Math" w:hAnsi="Cambria Math" w:cstheme="minorBidi"/>
          <w:i/>
          <w:sz w:val="22"/>
          <w:szCs w:val="28"/>
        </w:rPr>
        <w:t xml:space="preserve">According to SAFE results, the maximum soil stress under the foundation in combination </w:t>
      </w:r>
      <w:r w:rsidR="003645B2">
        <w:rPr>
          <w:rFonts w:ascii="Cambria Math" w:hAnsi="Cambria Math" w:cstheme="minorBidi"/>
          <w:i/>
          <w:sz w:val="22"/>
          <w:szCs w:val="28"/>
        </w:rPr>
        <w:t xml:space="preserve">ENV-SRV </w:t>
      </w:r>
      <w:r w:rsidRPr="003E1BC8">
        <w:rPr>
          <w:rFonts w:ascii="Cambria Math" w:hAnsi="Cambria Math" w:cstheme="minorBidi"/>
          <w:i/>
          <w:sz w:val="22"/>
          <w:szCs w:val="28"/>
        </w:rPr>
        <w:t>is:</w:t>
      </w:r>
    </w:p>
    <w:p w:rsidR="005105D4" w:rsidRPr="003E1BC8" w:rsidRDefault="005105D4" w:rsidP="0064548A">
      <w:pPr>
        <w:spacing w:line="360" w:lineRule="auto"/>
        <w:ind w:left="-4032" w:right="450" w:firstLine="360"/>
        <w:jc w:val="right"/>
        <w:rPr>
          <w:rFonts w:ascii="Cambria Math" w:hAnsi="Cambria Math" w:cstheme="minorBidi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Bidi"/>
              <w:sz w:val="22"/>
              <w:szCs w:val="28"/>
            </w:rPr>
            <m:t>max. stress under foundation:  0.31  &lt; 1.20 kg/c</m:t>
          </m:r>
          <m:sSup>
            <m:sSupPr>
              <m:ctrlPr>
                <w:rPr>
                  <w:rFonts w:ascii="Cambria Math" w:hAnsi="Cambria Math" w:cstheme="minorBidi"/>
                  <w:i/>
                  <w:sz w:val="22"/>
                  <w:szCs w:val="28"/>
                </w:rPr>
              </m:ctrlPr>
            </m:sSupPr>
            <m:e>
              <m:r>
                <w:rPr>
                  <w:rFonts w:ascii="Cambria Math" w:hAnsi="Cambria Math" w:cstheme="minorBidi"/>
                  <w:sz w:val="22"/>
                  <w:szCs w:val="28"/>
                </w:rPr>
                <m:t>m</m:t>
              </m:r>
            </m:e>
            <m:sup>
              <m:r>
                <w:rPr>
                  <w:rFonts w:ascii="Cambria Math" w:hAnsi="Cambria Math" w:cstheme="minorBidi"/>
                  <w:sz w:val="22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Bidi"/>
              <w:sz w:val="22"/>
              <w:szCs w:val="28"/>
            </w:rPr>
            <m:t xml:space="preserve">         ok.</m:t>
          </m:r>
        </m:oMath>
      </m:oMathPara>
    </w:p>
    <w:p w:rsidR="005105D4" w:rsidRPr="005105D4" w:rsidRDefault="0064548A" w:rsidP="0064548A">
      <w:pPr>
        <w:spacing w:line="360" w:lineRule="auto"/>
        <w:ind w:left="-4032" w:firstLine="360"/>
        <w:jc w:val="right"/>
        <w:rPr>
          <w:rFonts w:eastAsiaTheme="minorEastAsia"/>
        </w:rPr>
      </w:pPr>
      <w:r>
        <w:rPr>
          <w:noProof/>
        </w:rPr>
        <w:drawing>
          <wp:inline distT="0" distB="0" distL="0" distR="0" wp14:anchorId="3DB3DACF" wp14:editId="4B40DC86">
            <wp:extent cx="5048250" cy="24630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63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Pr="00983FE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983FE4">
        <w:rPr>
          <w:b w:val="0"/>
          <w:bCs/>
        </w:rPr>
        <w:t>figure 5.displacement diagram for foundation</w:t>
      </w:r>
    </w:p>
    <w:p w:rsidR="005105D4" w:rsidRDefault="005105D4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64548A" w:rsidRDefault="005105D4" w:rsidP="0064548A">
      <w:pPr>
        <w:spacing w:line="360" w:lineRule="auto"/>
        <w:ind w:left="284" w:right="450"/>
        <w:jc w:val="right"/>
        <w:rPr>
          <w:rFonts w:ascii="Cambria Math" w:hAnsi="Cambria Math" w:cstheme="minorBidi"/>
          <w:i/>
          <w:sz w:val="22"/>
          <w:szCs w:val="28"/>
        </w:rPr>
      </w:pPr>
      <w:r w:rsidRPr="0064548A">
        <w:rPr>
          <w:rFonts w:ascii="Cambria Math" w:hAnsi="Cambria Math" w:cstheme="minorBidi"/>
          <w:i/>
          <w:sz w:val="22"/>
          <w:szCs w:val="28"/>
        </w:rPr>
        <w:t xml:space="preserve">According to SAFE results, the maximum soil </w:t>
      </w:r>
      <w:r w:rsidR="0064548A" w:rsidRPr="0064548A">
        <w:rPr>
          <w:rFonts w:ascii="Cambria Math" w:hAnsi="Cambria Math" w:cstheme="minorBidi"/>
          <w:i/>
          <w:sz w:val="22"/>
          <w:szCs w:val="28"/>
        </w:rPr>
        <w:t>displacement</w:t>
      </w:r>
      <w:r w:rsidRPr="0064548A">
        <w:rPr>
          <w:rFonts w:ascii="Cambria Math" w:hAnsi="Cambria Math" w:cstheme="minorBidi"/>
          <w:i/>
          <w:sz w:val="22"/>
          <w:szCs w:val="28"/>
        </w:rPr>
        <w:t xml:space="preserve"> under the foundation in combination E</w:t>
      </w:r>
      <w:r w:rsidR="0064548A" w:rsidRPr="0064548A">
        <w:rPr>
          <w:rFonts w:ascii="Cambria Math" w:hAnsi="Cambria Math" w:cstheme="minorBidi"/>
          <w:i/>
          <w:sz w:val="22"/>
          <w:szCs w:val="28"/>
        </w:rPr>
        <w:t xml:space="preserve">NV-COMB </w:t>
      </w:r>
      <w:r w:rsidRPr="0064548A">
        <w:rPr>
          <w:rFonts w:ascii="Cambria Math" w:hAnsi="Cambria Math" w:cstheme="minorBidi"/>
          <w:i/>
          <w:sz w:val="22"/>
          <w:szCs w:val="28"/>
        </w:rPr>
        <w:t xml:space="preserve"> is:</w:t>
      </w:r>
    </w:p>
    <w:p w:rsidR="005105D4" w:rsidRPr="00D27BD1" w:rsidRDefault="005105D4" w:rsidP="00D27BD1">
      <w:pPr>
        <w:spacing w:line="360" w:lineRule="auto"/>
        <w:ind w:left="-4032" w:right="450" w:firstLine="360"/>
        <w:jc w:val="right"/>
        <w:rPr>
          <w:rFonts w:ascii="Cambria Math" w:hAnsi="Cambria Math" w:cstheme="minorBidi"/>
          <w:i/>
          <w:sz w:val="22"/>
          <w:szCs w:val="28"/>
        </w:rPr>
      </w:pPr>
      <w:r w:rsidRPr="00D27BD1">
        <w:rPr>
          <w:rFonts w:ascii="Cambria Math" w:hAnsi="Cambria Math" w:cstheme="minorBidi"/>
          <w:i/>
          <w:sz w:val="22"/>
          <w:szCs w:val="28"/>
        </w:rPr>
        <w:t xml:space="preserve"> </w:t>
      </w:r>
      <m:oMath>
        <m:r>
          <w:rPr>
            <w:rFonts w:ascii="Cambria Math" w:hAnsi="Cambria Math" w:cstheme="minorBidi"/>
            <w:sz w:val="22"/>
            <w:szCs w:val="28"/>
          </w:rPr>
          <m:t>max. displacement under foundation :0.47 cm    &lt;   2 cm         ok.</m:t>
        </m:r>
      </m:oMath>
    </w:p>
    <w:p w:rsidR="005105D4" w:rsidRDefault="005105D4" w:rsidP="005105D4">
      <w:pPr>
        <w:spacing w:line="360" w:lineRule="auto"/>
        <w:ind w:left="284"/>
        <w:jc w:val="right"/>
      </w:pPr>
    </w:p>
    <w:p w:rsidR="005105D4" w:rsidRPr="00095EC4" w:rsidRDefault="005105D4" w:rsidP="004B5D56">
      <w:pPr>
        <w:pStyle w:val="Heading2"/>
        <w:numPr>
          <w:ilvl w:val="0"/>
          <w:numId w:val="19"/>
        </w:numPr>
      </w:pPr>
      <w:bookmarkStart w:id="93" w:name="_Toc512769437"/>
      <w:bookmarkStart w:id="94" w:name="_Toc53529651"/>
      <w:bookmarkStart w:id="95" w:name="_Toc122863459"/>
      <w:r>
        <w:t xml:space="preserve">foundation </w:t>
      </w:r>
      <w:r w:rsidRPr="00095EC4">
        <w:t>REINFORCING CONTROL</w:t>
      </w:r>
      <w:bookmarkEnd w:id="93"/>
      <w:bookmarkEnd w:id="94"/>
      <w:bookmarkEnd w:id="95"/>
    </w:p>
    <w:p w:rsidR="004B5D56" w:rsidRPr="00587C31" w:rsidRDefault="004B5D56" w:rsidP="00D27BD1">
      <w:pPr>
        <w:spacing w:line="360" w:lineRule="auto"/>
        <w:ind w:left="284"/>
        <w:jc w:val="right"/>
        <w:rPr>
          <w:sz w:val="24"/>
        </w:rPr>
      </w:pPr>
      <w:bookmarkStart w:id="96" w:name="_Toc469302641"/>
      <w:bookmarkStart w:id="97" w:name="_Toc471737598"/>
      <w:bookmarkStart w:id="98" w:name="_Toc491505337"/>
      <w:bookmarkStart w:id="99" w:name="_Toc505517598"/>
      <w:bookmarkStart w:id="100" w:name="_Toc512769438"/>
      <w:bookmarkStart w:id="101" w:name="_Toc42260790"/>
      <w:bookmarkStart w:id="102" w:name="_Toc53529652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for foundation : 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smin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0.0018 bh=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0.0018×100×40=7.20 c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</m:oMath>
      </m:oMathPara>
      <w:bookmarkEnd w:id="96"/>
      <w:bookmarkEnd w:id="97"/>
      <w:bookmarkEnd w:id="98"/>
      <w:bookmarkEnd w:id="99"/>
      <w:bookmarkEnd w:id="100"/>
      <w:bookmarkEnd w:id="101"/>
      <w:bookmarkEnd w:id="102"/>
    </w:p>
    <w:bookmarkStart w:id="103" w:name="_Toc469302644"/>
    <w:bookmarkStart w:id="104" w:name="_Toc471737601"/>
    <w:bookmarkStart w:id="105" w:name="_Toc491505339"/>
    <w:bookmarkStart w:id="106" w:name="_Toc505517599"/>
    <w:bookmarkStart w:id="107" w:name="_Toc512769439"/>
    <w:bookmarkStart w:id="108" w:name="_Toc42260791"/>
    <w:bookmarkStart w:id="109" w:name="_Toc53529653"/>
    <w:p w:rsidR="004B5D56" w:rsidRPr="00AF3813" w:rsidRDefault="00F705C9" w:rsidP="00D27BD1">
      <w:pPr>
        <w:spacing w:line="360" w:lineRule="auto"/>
        <w:ind w:left="284"/>
        <w:jc w:val="right"/>
        <w:rPr>
          <w:rFonts w:ascii="Cambria Math" w:hAnsi="Cambria Math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 used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=∅16 @ 200=10.05 c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 xml:space="preserve">    OK</m:t>
          </m:r>
          <w:bookmarkEnd w:id="103"/>
          <w:bookmarkEnd w:id="104"/>
          <w:bookmarkEnd w:id="105"/>
          <w:bookmarkEnd w:id="106"/>
          <w:bookmarkEnd w:id="107"/>
          <w:bookmarkEnd w:id="108"/>
          <w:bookmarkEnd w:id="109"/>
          <m:r>
            <m:rPr>
              <m:sty m:val="p"/>
            </m:rP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587C31" w:rsidRPr="005105D4" w:rsidRDefault="00587C31" w:rsidP="005105D4">
      <w:pPr>
        <w:spacing w:line="360" w:lineRule="auto"/>
        <w:ind w:left="284"/>
        <w:jc w:val="right"/>
      </w:pPr>
    </w:p>
    <w:p w:rsidR="005105D4" w:rsidRDefault="006558D6" w:rsidP="006558D6">
      <w:pPr>
        <w:spacing w:after="100" w:line="288" w:lineRule="auto"/>
        <w:ind w:left="1080" w:right="1440" w:firstLine="450"/>
        <w:outlineLvl w:val="0"/>
        <w:rPr>
          <w:rFonts w:ascii="Cambria Math" w:hAnsi="Cambria Math" w:cstheme="minorBidi"/>
          <w:i/>
          <w:sz w:val="22"/>
          <w:szCs w:val="28"/>
        </w:rPr>
      </w:pPr>
      <w:r>
        <w:rPr>
          <w:noProof/>
        </w:rPr>
        <w:drawing>
          <wp:inline distT="0" distB="0" distL="0" distR="0" wp14:anchorId="78F92D24" wp14:editId="3A6C83EF">
            <wp:extent cx="4846451" cy="2498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2604" cy="250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56" w:rsidRPr="006558D6" w:rsidRDefault="004B5D56" w:rsidP="004B5D56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6558D6">
        <w:rPr>
          <w:b w:val="0"/>
          <w:bCs/>
        </w:rPr>
        <w:t>figure 6.slab design (additional reinforcement)</w:t>
      </w:r>
    </w:p>
    <w:p w:rsidR="004B5D56" w:rsidRDefault="004B5D56" w:rsidP="004B5D56">
      <w:pPr>
        <w:spacing w:after="100" w:line="288" w:lineRule="auto"/>
        <w:ind w:left="1530" w:hanging="630"/>
        <w:jc w:val="center"/>
        <w:outlineLvl w:val="2"/>
        <w:rPr>
          <w:rFonts w:eastAsiaTheme="minorEastAsia"/>
        </w:rPr>
      </w:pPr>
    </w:p>
    <w:p w:rsidR="00C74214" w:rsidRDefault="00C74214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DF0FD3" w:rsidRDefault="005105D4" w:rsidP="005105D4">
      <w:pPr>
        <w:pStyle w:val="Heading2"/>
        <w:numPr>
          <w:ilvl w:val="0"/>
          <w:numId w:val="19"/>
        </w:numPr>
      </w:pPr>
      <w:bookmarkStart w:id="110" w:name="_Toc512769440"/>
      <w:bookmarkStart w:id="111" w:name="_Toc53529655"/>
      <w:bookmarkStart w:id="112" w:name="_Toc122863461"/>
      <w:r w:rsidRPr="00DF0FD3">
        <w:lastRenderedPageBreak/>
        <w:t>OVERTURNING</w:t>
      </w:r>
      <w:r>
        <w:t xml:space="preserve"> and sliding </w:t>
      </w:r>
      <w:r w:rsidRPr="00DF0FD3">
        <w:t>CONTROL CALCULATION</w:t>
      </w:r>
      <w:bookmarkEnd w:id="110"/>
      <w:bookmarkEnd w:id="111"/>
      <w:bookmarkEnd w:id="112"/>
    </w:p>
    <w:p w:rsidR="005105D4" w:rsidRDefault="00C74214" w:rsidP="00C74214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8C27189" wp14:editId="1BD2B99B">
            <wp:extent cx="5927834" cy="4887311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7834" cy="48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Default="005105D4" w:rsidP="005105D4">
      <w:pPr>
        <w:rPr>
          <w:lang w:val="en-GB"/>
        </w:rPr>
      </w:pPr>
    </w:p>
    <w:p w:rsidR="005105D4" w:rsidRPr="00ED6803" w:rsidRDefault="005105D4" w:rsidP="005105D4">
      <w:pPr>
        <w:jc w:val="center"/>
        <w:rPr>
          <w:lang w:val="en-GB"/>
        </w:rPr>
      </w:pPr>
      <w:r>
        <w:rPr>
          <w:rFonts w:eastAsiaTheme="minorEastAsia"/>
          <w:noProof/>
          <w:color w:val="000000" w:themeColor="text1"/>
        </w:rPr>
        <w:drawing>
          <wp:inline distT="0" distB="0" distL="0" distR="0" wp14:anchorId="0B68D20C" wp14:editId="4F4ED0CE">
            <wp:extent cx="3166295" cy="1998921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95" cy="19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5D4" w:rsidRPr="00ED6803" w:rsidSect="00A031B5">
      <w:headerReference w:type="default" r:id="rId2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C9" w:rsidRDefault="00F705C9" w:rsidP="00053F8D">
      <w:r>
        <w:separator/>
      </w:r>
    </w:p>
  </w:endnote>
  <w:endnote w:type="continuationSeparator" w:id="0">
    <w:p w:rsidR="00F705C9" w:rsidRDefault="00F705C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C9" w:rsidRDefault="00F705C9" w:rsidP="00053F8D">
      <w:r>
        <w:separator/>
      </w:r>
    </w:p>
  </w:footnote>
  <w:footnote w:type="continuationSeparator" w:id="0">
    <w:p w:rsidR="00F705C9" w:rsidRDefault="00F705C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93F02" w:rsidRPr="008C593B" w:rsidTr="0018314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93F02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E2BA798" wp14:editId="1BC9599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3F02" w:rsidRPr="00ED37F3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167FF5B7" wp14:editId="460235D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5DD92498" wp14:editId="6E5DB5B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93F02" w:rsidRPr="00FA21C4" w:rsidRDefault="00593F0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93F02" w:rsidRDefault="00593F0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93F02" w:rsidRPr="0037207F" w:rsidRDefault="00593F0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93F02" w:rsidRPr="00822FF3" w:rsidRDefault="00593F0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93F02" w:rsidRPr="0034040D" w:rsidRDefault="00593F0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11B0F6" wp14:editId="6DBE81BD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3F02" w:rsidRPr="0034040D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93F02" w:rsidRPr="008C593B" w:rsidTr="0018314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93F02" w:rsidRPr="00F67855" w:rsidRDefault="00593F0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1669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1669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93F02" w:rsidRPr="003E261A" w:rsidRDefault="00855AA6" w:rsidP="002B6322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777C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CALCULATION NOTE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COMPRESSOR AREA MAIN</w:t>
          </w:r>
          <w:r w:rsidRPr="00A777C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SLEEPERS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93F02" w:rsidRPr="007B6EBF" w:rsidRDefault="00593F0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93F02" w:rsidRPr="008C593B" w:rsidTr="0018314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93F02" w:rsidRPr="00F1221B" w:rsidRDefault="00593F0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93F02" w:rsidRPr="00571B19" w:rsidRDefault="00593F0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93F02" w:rsidRPr="00571B19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93F02" w:rsidRPr="00470459" w:rsidRDefault="00593F0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93F02" w:rsidRPr="008C593B" w:rsidTr="0018314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93F02" w:rsidRPr="008C593B" w:rsidRDefault="00593F0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</w:tcPr>
        <w:p w:rsidR="00593F02" w:rsidRDefault="0011669C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D</w:t>
          </w:r>
          <w:r w:rsidR="00593F0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</w:tcPr>
        <w:p w:rsidR="00593F02" w:rsidRDefault="00593F02" w:rsidP="002B6322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0014</w:t>
          </w:r>
        </w:p>
      </w:tc>
      <w:tc>
        <w:tcPr>
          <w:tcW w:w="900" w:type="dxa"/>
          <w:tcBorders>
            <w:bottom w:val="single" w:sz="12" w:space="0" w:color="auto"/>
          </w:tcBorders>
        </w:tcPr>
        <w:p w:rsidR="00593F02" w:rsidRDefault="00593F02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</w:tcPr>
        <w:p w:rsidR="00593F02" w:rsidRDefault="00593F02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</w:tcPr>
        <w:p w:rsidR="00593F02" w:rsidRDefault="00593F02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</w:tcPr>
        <w:p w:rsidR="00593F02" w:rsidRDefault="00593F02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593F02" w:rsidRDefault="00593F02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93F02" w:rsidRPr="007B6EBF" w:rsidRDefault="00593F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93F02" w:rsidRPr="008C593B" w:rsidRDefault="00593F0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93F02" w:rsidRPr="00CE0376" w:rsidRDefault="00593F0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3AC"/>
    <w:multiLevelType w:val="hybridMultilevel"/>
    <w:tmpl w:val="2D64C358"/>
    <w:lvl w:ilvl="0" w:tplc="9DC646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DBF6EC4"/>
    <w:multiLevelType w:val="hybridMultilevel"/>
    <w:tmpl w:val="8FD44C5C"/>
    <w:lvl w:ilvl="0" w:tplc="9DC64626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6A40A4"/>
    <w:multiLevelType w:val="hybridMultilevel"/>
    <w:tmpl w:val="EB607A80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37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7" w15:restartNumberingAfterBreak="0">
    <w:nsid w:val="57B62D07"/>
    <w:multiLevelType w:val="hybridMultilevel"/>
    <w:tmpl w:val="5A0E437E"/>
    <w:lvl w:ilvl="0" w:tplc="9DC64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8C2E80"/>
    <w:multiLevelType w:val="multilevel"/>
    <w:tmpl w:val="C43E06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000284"/>
    <w:multiLevelType w:val="hybridMultilevel"/>
    <w:tmpl w:val="FC529222"/>
    <w:lvl w:ilvl="0" w:tplc="9DC6462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8"/>
  </w:num>
  <w:num w:numId="13">
    <w:abstractNumId w:val="1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1"/>
  </w:num>
  <w:num w:numId="19">
    <w:abstractNumId w:val="0"/>
  </w:num>
  <w:num w:numId="20">
    <w:abstractNumId w:val="2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 w:numId="29">
    <w:abstractNumId w:val="6"/>
  </w:num>
  <w:num w:numId="30">
    <w:abstractNumId w:val="8"/>
  </w:num>
  <w:num w:numId="31">
    <w:abstractNumId w:val="8"/>
  </w:num>
  <w:num w:numId="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0A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67595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584"/>
    <w:rsid w:val="000B7B46"/>
    <w:rsid w:val="000C0C3C"/>
    <w:rsid w:val="000C2B6D"/>
    <w:rsid w:val="000C38B1"/>
    <w:rsid w:val="000C3C86"/>
    <w:rsid w:val="000C4EAB"/>
    <w:rsid w:val="000C7433"/>
    <w:rsid w:val="000D719F"/>
    <w:rsid w:val="000D7763"/>
    <w:rsid w:val="000E2DDE"/>
    <w:rsid w:val="000E5C72"/>
    <w:rsid w:val="000F2766"/>
    <w:rsid w:val="000F5F03"/>
    <w:rsid w:val="00110C11"/>
    <w:rsid w:val="00112D2E"/>
    <w:rsid w:val="00113474"/>
    <w:rsid w:val="00113941"/>
    <w:rsid w:val="0011669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314C"/>
    <w:rsid w:val="001909F2"/>
    <w:rsid w:val="0019579A"/>
    <w:rsid w:val="00196407"/>
    <w:rsid w:val="001A4127"/>
    <w:rsid w:val="001A64FC"/>
    <w:rsid w:val="001B77A3"/>
    <w:rsid w:val="001B7CF1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809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6322"/>
    <w:rsid w:val="002C076E"/>
    <w:rsid w:val="002C5D30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13F2"/>
    <w:rsid w:val="0033267C"/>
    <w:rsid w:val="003326A4"/>
    <w:rsid w:val="003327BF"/>
    <w:rsid w:val="00334B91"/>
    <w:rsid w:val="00352FCF"/>
    <w:rsid w:val="003645B2"/>
    <w:rsid w:val="003655D9"/>
    <w:rsid w:val="00366E3B"/>
    <w:rsid w:val="0036768E"/>
    <w:rsid w:val="003715CB"/>
    <w:rsid w:val="00371D80"/>
    <w:rsid w:val="003770B8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BC8"/>
    <w:rsid w:val="003E261A"/>
    <w:rsid w:val="003F3138"/>
    <w:rsid w:val="003F4ED4"/>
    <w:rsid w:val="003F6F9C"/>
    <w:rsid w:val="004007D5"/>
    <w:rsid w:val="00411071"/>
    <w:rsid w:val="00411DA7"/>
    <w:rsid w:val="004138B9"/>
    <w:rsid w:val="0041786C"/>
    <w:rsid w:val="00417C20"/>
    <w:rsid w:val="0042473D"/>
    <w:rsid w:val="00424830"/>
    <w:rsid w:val="004258F8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89D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B5D56"/>
    <w:rsid w:val="004C0007"/>
    <w:rsid w:val="004C3241"/>
    <w:rsid w:val="004E3E87"/>
    <w:rsid w:val="004E424D"/>
    <w:rsid w:val="004E6108"/>
    <w:rsid w:val="004E757E"/>
    <w:rsid w:val="004F0595"/>
    <w:rsid w:val="004F17C7"/>
    <w:rsid w:val="00501E07"/>
    <w:rsid w:val="0050312F"/>
    <w:rsid w:val="00506772"/>
    <w:rsid w:val="00506F7A"/>
    <w:rsid w:val="005105D4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09F3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87C31"/>
    <w:rsid w:val="00593B76"/>
    <w:rsid w:val="00593F02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09B2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548A"/>
    <w:rsid w:val="00650180"/>
    <w:rsid w:val="006506F4"/>
    <w:rsid w:val="00654E93"/>
    <w:rsid w:val="0065552A"/>
    <w:rsid w:val="006558D6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07D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28CD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3623"/>
    <w:rsid w:val="00764739"/>
    <w:rsid w:val="00765EC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B7D0E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027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0091"/>
    <w:rsid w:val="008313BE"/>
    <w:rsid w:val="00831481"/>
    <w:rsid w:val="008320D0"/>
    <w:rsid w:val="00835FA6"/>
    <w:rsid w:val="00836F8B"/>
    <w:rsid w:val="008422AA"/>
    <w:rsid w:val="0084580C"/>
    <w:rsid w:val="00847D72"/>
    <w:rsid w:val="008539A9"/>
    <w:rsid w:val="00855832"/>
    <w:rsid w:val="00855AA6"/>
    <w:rsid w:val="0086453D"/>
    <w:rsid w:val="008649B1"/>
    <w:rsid w:val="00864B07"/>
    <w:rsid w:val="00890A2D"/>
    <w:rsid w:val="008911E2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E5F9F"/>
    <w:rsid w:val="008F7539"/>
    <w:rsid w:val="008F7CF4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773A"/>
    <w:rsid w:val="00970DAE"/>
    <w:rsid w:val="00983FE4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AB9"/>
    <w:rsid w:val="00A07CE6"/>
    <w:rsid w:val="00A11DA4"/>
    <w:rsid w:val="00A31D47"/>
    <w:rsid w:val="00A33135"/>
    <w:rsid w:val="00A36189"/>
    <w:rsid w:val="00A37381"/>
    <w:rsid w:val="00A41585"/>
    <w:rsid w:val="00A51293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77C5"/>
    <w:rsid w:val="00A860D1"/>
    <w:rsid w:val="00A902C7"/>
    <w:rsid w:val="00A93C6A"/>
    <w:rsid w:val="00A95EE3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3813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1780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497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214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709"/>
    <w:rsid w:val="00D26BCE"/>
    <w:rsid w:val="00D27443"/>
    <w:rsid w:val="00D27BD1"/>
    <w:rsid w:val="00D37E27"/>
    <w:rsid w:val="00D54D90"/>
    <w:rsid w:val="00D56045"/>
    <w:rsid w:val="00D602F7"/>
    <w:rsid w:val="00D61099"/>
    <w:rsid w:val="00D636EF"/>
    <w:rsid w:val="00D65160"/>
    <w:rsid w:val="00D6606E"/>
    <w:rsid w:val="00D6623B"/>
    <w:rsid w:val="00D67E1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1792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16CA"/>
    <w:rsid w:val="00EA3057"/>
    <w:rsid w:val="00EA58B4"/>
    <w:rsid w:val="00EA6AD5"/>
    <w:rsid w:val="00EB202D"/>
    <w:rsid w:val="00EB2106"/>
    <w:rsid w:val="00EB2A77"/>
    <w:rsid w:val="00EB2D3E"/>
    <w:rsid w:val="00EB7C80"/>
    <w:rsid w:val="00EC0630"/>
    <w:rsid w:val="00EC0BE1"/>
    <w:rsid w:val="00EC217E"/>
    <w:rsid w:val="00EC392A"/>
    <w:rsid w:val="00EC3ACA"/>
    <w:rsid w:val="00EC5CDC"/>
    <w:rsid w:val="00ED0573"/>
    <w:rsid w:val="00ED0DFE"/>
    <w:rsid w:val="00ED1066"/>
    <w:rsid w:val="00ED2F17"/>
    <w:rsid w:val="00ED37F3"/>
    <w:rsid w:val="00ED4061"/>
    <w:rsid w:val="00ED6036"/>
    <w:rsid w:val="00ED6252"/>
    <w:rsid w:val="00ED6803"/>
    <w:rsid w:val="00EE3DFE"/>
    <w:rsid w:val="00EE410D"/>
    <w:rsid w:val="00EF04AF"/>
    <w:rsid w:val="00EF480F"/>
    <w:rsid w:val="00EF6B3F"/>
    <w:rsid w:val="00F002AE"/>
    <w:rsid w:val="00F00C50"/>
    <w:rsid w:val="00F01247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67DC9"/>
    <w:rsid w:val="00F705C9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657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3ED61-4E9B-4D84-AC18-5A89F54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27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D6803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D680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ableTitle">
    <w:name w:val="TableTitle"/>
    <w:basedOn w:val="Caption"/>
    <w:qFormat/>
    <w:rsid w:val="00F01247"/>
    <w:pPr>
      <w:numPr>
        <w:numId w:val="11"/>
      </w:numPr>
      <w:tabs>
        <w:tab w:val="left" w:pos="113"/>
        <w:tab w:val="num" w:pos="360"/>
        <w:tab w:val="num" w:pos="720"/>
      </w:tabs>
      <w:bidi w:val="0"/>
      <w:spacing w:before="100" w:after="100"/>
      <w:ind w:left="2813" w:firstLine="247"/>
      <w:jc w:val="center"/>
    </w:pPr>
    <w:rPr>
      <w:rFonts w:ascii="Arial Bold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Tables">
    <w:name w:val="Tables"/>
    <w:basedOn w:val="Normal"/>
    <w:qFormat/>
    <w:rsid w:val="00F01247"/>
    <w:pPr>
      <w:tabs>
        <w:tab w:val="left" w:pos="113"/>
      </w:tabs>
      <w:bidi w:val="0"/>
      <w:spacing w:before="100" w:after="100"/>
      <w:jc w:val="center"/>
      <w:textboxTightWrap w:val="allLines"/>
    </w:pPr>
    <w:rPr>
      <w:rFonts w:ascii="Verdana" w:hAnsi="Verdana" w:cs="Verdana"/>
      <w:sz w:val="18"/>
      <w:szCs w:val="1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124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Normal"/>
    <w:qFormat/>
    <w:rsid w:val="005105D4"/>
    <w:pPr>
      <w:numPr>
        <w:numId w:val="28"/>
      </w:numPr>
      <w:tabs>
        <w:tab w:val="left" w:pos="113"/>
      </w:tabs>
      <w:bidi w:val="0"/>
      <w:spacing w:before="100" w:beforeAutospacing="1" w:after="100" w:afterAutospacing="1"/>
      <w:jc w:val="center"/>
    </w:pPr>
    <w:rPr>
      <w:rFonts w:ascii="Arial Bold" w:hAnsi="Arial Bold" w:cs="Times New Roman"/>
      <w:b/>
      <w:iCs/>
      <w:caps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93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emf"/><Relationship Id="rId1" Type="http://schemas.openxmlformats.org/officeDocument/2006/relationships/image" Target="media/image14.jpeg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7769-D878-4A55-8E9A-255E9ACD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8547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44</cp:revision>
  <cp:lastPrinted>2023-01-08T06:56:00Z</cp:lastPrinted>
  <dcterms:created xsi:type="dcterms:W3CDTF">2022-12-17T11:52:00Z</dcterms:created>
  <dcterms:modified xsi:type="dcterms:W3CDTF">2023-01-10T07:16:00Z</dcterms:modified>
</cp:coreProperties>
</file>