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875E" w14:textId="77777777" w:rsidR="008F5BA6" w:rsidRDefault="008F5BA6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69"/>
        <w:gridCol w:w="2116"/>
        <w:gridCol w:w="1505"/>
        <w:gridCol w:w="1583"/>
        <w:gridCol w:w="1678"/>
        <w:gridCol w:w="1700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5C081" w14:textId="472B58BE" w:rsidR="00912FFC" w:rsidRDefault="002005EA" w:rsidP="00956369">
            <w:pPr>
              <w:widowControl w:val="0"/>
              <w:jc w:val="center"/>
              <w:rPr>
                <w:rStyle w:val="fontstyle01"/>
                <w:b/>
                <w:bCs/>
              </w:rPr>
            </w:pPr>
            <w:r w:rsidRPr="002005EA">
              <w:rPr>
                <w:rStyle w:val="fontstyle01"/>
                <w:b/>
                <w:bCs/>
              </w:rPr>
              <w:t>PICKLING AND PASSIVATION PROCEDURE</w:t>
            </w:r>
            <w:r w:rsidRPr="002005EA">
              <w:rPr>
                <w:rStyle w:val="fontstyle01"/>
                <w:b/>
                <w:bCs/>
                <w:rtl/>
              </w:rPr>
              <w:t xml:space="preserve"> </w:t>
            </w:r>
          </w:p>
          <w:p w14:paraId="64F85D11" w14:textId="77777777" w:rsidR="002005EA" w:rsidRDefault="002005EA" w:rsidP="00956369">
            <w:pPr>
              <w:widowControl w:val="0"/>
              <w:jc w:val="center"/>
              <w:rPr>
                <w:rStyle w:val="fontstyle01"/>
                <w:b/>
                <w:bCs/>
              </w:rPr>
            </w:pPr>
          </w:p>
          <w:p w14:paraId="04AEEAFF" w14:textId="631D8C8C" w:rsidR="00EF757F" w:rsidRPr="00EA3057" w:rsidRDefault="00EF757F" w:rsidP="00956369">
            <w:pPr>
              <w:widowControl w:val="0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27EDB29A" w:rsidR="00F044EC" w:rsidRPr="000E2E1E" w:rsidRDefault="00BD7708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9B2A0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D2B4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A20524" w:rsidR="00F044EC" w:rsidRPr="00E30A23" w:rsidRDefault="00DB356D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MF</w:t>
            </w:r>
            <w:r w:rsidR="001478F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1DA78AD3" w:rsidR="00F044EC" w:rsidRPr="00E30A23" w:rsidRDefault="001D2B4B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8F5B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8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0AAF2F2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66A957CD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004EE8CE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099A306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3E2B1530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9B536A7" w14:textId="7B3F026E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FEFE5B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11FD674" w14:textId="354CF02F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22D05B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8E5F4D" w14:textId="34FA5428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9D4403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949459B" w14:textId="027B522F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185C39B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3EC28A" w14:textId="500C8BC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5CD47F7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6422969" w14:textId="0C5AF557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BA8BB08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84B7B9D" w14:textId="1882BCE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33CACF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34243CF" w14:textId="6A94FF5E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DFB6F6" w14:textId="39C82AC0" w:rsidR="00F044EC" w:rsidRDefault="00F044EC" w:rsidP="009616C1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4F1CD00E" w14:textId="1F668DCB" w:rsidR="008F1F0D" w:rsidRDefault="008F1F0D" w:rsidP="008F1F0D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3C5A5D05" w14:textId="435462CA" w:rsidR="008F1F0D" w:rsidRDefault="008F1F0D" w:rsidP="008F1F0D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52657E63" w14:textId="77777777" w:rsidR="008F1F0D" w:rsidRPr="008F1F0D" w:rsidRDefault="008F1F0D" w:rsidP="008F1F0D">
      <w:pPr>
        <w:tabs>
          <w:tab w:val="left" w:pos="480"/>
          <w:tab w:val="right" w:leader="dot" w:pos="9345"/>
        </w:tabs>
        <w:bidi w:val="0"/>
        <w:spacing w:before="360"/>
        <w:jc w:val="center"/>
        <w:rPr>
          <w:rFonts w:eastAsia="Arial" w:cs="Times New Roman"/>
          <w:b/>
          <w:bCs/>
          <w:caps/>
          <w:sz w:val="28"/>
          <w:szCs w:val="28"/>
          <w:lang w:eastAsia="ja-JP"/>
        </w:rPr>
      </w:pPr>
      <w:r w:rsidRPr="008F1F0D">
        <w:rPr>
          <w:rFonts w:eastAsia="Arial" w:cs="Times New Roman"/>
          <w:b/>
          <w:bCs/>
          <w:caps/>
          <w:sz w:val="28"/>
          <w:szCs w:val="28"/>
          <w:lang w:eastAsia="ja-JP"/>
        </w:rPr>
        <w:t>Table of content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850"/>
      </w:tblGrid>
      <w:tr w:rsidR="008F1F0D" w:rsidRPr="008F1F0D" w14:paraId="7309C4CF" w14:textId="77777777" w:rsidTr="00857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AAE8F95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Index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5C70505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F186C01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F43E60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Page</w:t>
            </w:r>
          </w:p>
        </w:tc>
      </w:tr>
      <w:tr w:rsidR="008F1F0D" w:rsidRPr="008F1F0D" w14:paraId="56956F2E" w14:textId="77777777" w:rsidTr="00857E09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8D03488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67C1EA5" w14:textId="77777777" w:rsidR="008F1F0D" w:rsidRPr="008F1F0D" w:rsidRDefault="008F1F0D" w:rsidP="008F1F0D">
            <w:pPr>
              <w:bidi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F1F0D">
              <w:rPr>
                <w:rFonts w:eastAsia="Calibri" w:cs="Times New Roman"/>
                <w:b/>
                <w:bCs/>
                <w:sz w:val="20"/>
                <w:szCs w:val="20"/>
              </w:rPr>
              <w:t>SCOPE</w:t>
            </w:r>
          </w:p>
          <w:p w14:paraId="22B08698" w14:textId="77777777" w:rsidR="008F1F0D" w:rsidRPr="008F1F0D" w:rsidRDefault="008F1F0D" w:rsidP="008F1F0D">
            <w:pPr>
              <w:bidi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9284936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8D8E35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4</w:t>
            </w:r>
          </w:p>
        </w:tc>
      </w:tr>
      <w:tr w:rsidR="008F1F0D" w:rsidRPr="008F1F0D" w14:paraId="7A5D9AA2" w14:textId="77777777" w:rsidTr="00857E09">
        <w:trPr>
          <w:jc w:val="center"/>
        </w:trPr>
        <w:tc>
          <w:tcPr>
            <w:tcW w:w="846" w:type="dxa"/>
            <w:vAlign w:val="center"/>
          </w:tcPr>
          <w:p w14:paraId="3DD70F14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14:paraId="7E6A4429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Arial" w:cs="Times New Roman"/>
                <w:b/>
                <w:bCs/>
                <w:sz w:val="20"/>
                <w:szCs w:val="20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0"/>
                <w:szCs w:val="20"/>
                <w:lang w:val="en-GB" w:eastAsia="x-none" w:bidi="fa-IR"/>
              </w:rPr>
              <w:t>DEFINITIONS</w:t>
            </w:r>
          </w:p>
        </w:tc>
        <w:tc>
          <w:tcPr>
            <w:tcW w:w="3544" w:type="dxa"/>
            <w:vAlign w:val="center"/>
          </w:tcPr>
          <w:p w14:paraId="4DC5C730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7764AA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4</w:t>
            </w:r>
          </w:p>
        </w:tc>
      </w:tr>
      <w:tr w:rsidR="008F1F0D" w:rsidRPr="008F1F0D" w14:paraId="3499FCEE" w14:textId="77777777" w:rsidTr="00857E09">
        <w:trPr>
          <w:jc w:val="center"/>
        </w:trPr>
        <w:tc>
          <w:tcPr>
            <w:tcW w:w="846" w:type="dxa"/>
            <w:vAlign w:val="center"/>
          </w:tcPr>
          <w:p w14:paraId="740220A0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10AA89FF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SimSun" w:cs="Times New Roman"/>
                <w:b/>
                <w:bCs/>
                <w:caps/>
                <w:snapToGrid w:val="0"/>
                <w:color w:val="000000"/>
                <w:kern w:val="28"/>
                <w:sz w:val="20"/>
                <w:szCs w:val="20"/>
                <w:lang w:val="en-GB" w:eastAsia="x-none" w:bidi="fa-IR"/>
              </w:rPr>
            </w:pPr>
            <w:r w:rsidRPr="008F1F0D">
              <w:rPr>
                <w:rFonts w:eastAsia="SimSun" w:cs="Times New Roman"/>
                <w:b/>
                <w:bCs/>
                <w:caps/>
                <w:snapToGrid w:val="0"/>
                <w:color w:val="000000"/>
                <w:kern w:val="28"/>
                <w:sz w:val="20"/>
                <w:szCs w:val="20"/>
                <w:lang w:val="en-GB" w:eastAsia="x-none" w:bidi="fa-IR"/>
              </w:rPr>
              <w:t>Reference Documents</w:t>
            </w:r>
          </w:p>
        </w:tc>
        <w:tc>
          <w:tcPr>
            <w:tcW w:w="3544" w:type="dxa"/>
            <w:vAlign w:val="center"/>
          </w:tcPr>
          <w:p w14:paraId="797CB674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707089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4</w:t>
            </w:r>
          </w:p>
        </w:tc>
      </w:tr>
      <w:tr w:rsidR="008F1F0D" w:rsidRPr="008F1F0D" w14:paraId="3AB4B040" w14:textId="77777777" w:rsidTr="00857E09">
        <w:trPr>
          <w:jc w:val="center"/>
        </w:trPr>
        <w:tc>
          <w:tcPr>
            <w:tcW w:w="846" w:type="dxa"/>
            <w:vAlign w:val="center"/>
          </w:tcPr>
          <w:p w14:paraId="1289030A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14:paraId="2D466289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SimSun" w:cs="Times New Roman"/>
                <w:b/>
                <w:bCs/>
                <w:caps/>
                <w:snapToGrid w:val="0"/>
                <w:color w:val="000000"/>
                <w:kern w:val="28"/>
                <w:sz w:val="20"/>
                <w:szCs w:val="20"/>
                <w:lang w:val="en-GB" w:eastAsia="x-none" w:bidi="fa-IR"/>
              </w:rPr>
            </w:pPr>
            <w:r w:rsidRPr="008F1F0D">
              <w:rPr>
                <w:rFonts w:eastAsia="SimSun" w:cs="Times New Roman"/>
                <w:b/>
                <w:bCs/>
                <w:caps/>
                <w:snapToGrid w:val="0"/>
                <w:color w:val="000000"/>
                <w:kern w:val="28"/>
                <w:sz w:val="20"/>
                <w:szCs w:val="20"/>
                <w:lang w:val="en-GB" w:eastAsia="x-none" w:bidi="fa-IR"/>
              </w:rPr>
              <w:t>USE OF LANGUAGE</w:t>
            </w:r>
          </w:p>
        </w:tc>
        <w:tc>
          <w:tcPr>
            <w:tcW w:w="3544" w:type="dxa"/>
            <w:vAlign w:val="center"/>
          </w:tcPr>
          <w:p w14:paraId="003EFBB0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4A4138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5</w:t>
            </w:r>
          </w:p>
        </w:tc>
      </w:tr>
      <w:tr w:rsidR="008F1F0D" w:rsidRPr="008F1F0D" w14:paraId="0A606FFB" w14:textId="77777777" w:rsidTr="00857E09">
        <w:trPr>
          <w:jc w:val="center"/>
        </w:trPr>
        <w:tc>
          <w:tcPr>
            <w:tcW w:w="846" w:type="dxa"/>
            <w:vAlign w:val="center"/>
          </w:tcPr>
          <w:p w14:paraId="40DA643A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14:paraId="1543DF96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Arial" w:cs="Times New Roman"/>
                <w:b/>
                <w:bCs/>
                <w:sz w:val="20"/>
                <w:szCs w:val="20"/>
                <w:lang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0"/>
                <w:szCs w:val="20"/>
                <w:lang w:eastAsia="x-none" w:bidi="fa-IR"/>
              </w:rPr>
              <w:t>PROTECTION</w:t>
            </w:r>
          </w:p>
        </w:tc>
        <w:tc>
          <w:tcPr>
            <w:tcW w:w="3544" w:type="dxa"/>
            <w:vAlign w:val="center"/>
          </w:tcPr>
          <w:p w14:paraId="67E54126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014FD4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5</w:t>
            </w:r>
          </w:p>
        </w:tc>
      </w:tr>
      <w:tr w:rsidR="008F1F0D" w:rsidRPr="008F1F0D" w14:paraId="2313A124" w14:textId="77777777" w:rsidTr="00857E09">
        <w:trPr>
          <w:jc w:val="center"/>
        </w:trPr>
        <w:tc>
          <w:tcPr>
            <w:tcW w:w="846" w:type="dxa"/>
            <w:vAlign w:val="center"/>
          </w:tcPr>
          <w:p w14:paraId="30B49C3E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6</w:t>
            </w:r>
          </w:p>
        </w:tc>
        <w:tc>
          <w:tcPr>
            <w:tcW w:w="3260" w:type="dxa"/>
            <w:vAlign w:val="center"/>
          </w:tcPr>
          <w:p w14:paraId="1BDAC8DF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Arial" w:cs="Times New Roman"/>
                <w:b/>
                <w:bCs/>
                <w:sz w:val="20"/>
                <w:szCs w:val="20"/>
                <w:lang w:val="x-none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0"/>
                <w:szCs w:val="20"/>
                <w:lang w:val="x-none" w:eastAsia="x-none" w:bidi="fa-IR"/>
              </w:rPr>
              <w:t>Cycle Stages</w:t>
            </w:r>
          </w:p>
        </w:tc>
        <w:tc>
          <w:tcPr>
            <w:tcW w:w="3544" w:type="dxa"/>
            <w:vAlign w:val="center"/>
          </w:tcPr>
          <w:p w14:paraId="3358DE64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5871D3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5</w:t>
            </w:r>
          </w:p>
        </w:tc>
      </w:tr>
      <w:tr w:rsidR="008F1F0D" w:rsidRPr="008F1F0D" w14:paraId="41818321" w14:textId="77777777" w:rsidTr="00857E09">
        <w:trPr>
          <w:jc w:val="center"/>
        </w:trPr>
        <w:tc>
          <w:tcPr>
            <w:tcW w:w="846" w:type="dxa"/>
            <w:vAlign w:val="center"/>
          </w:tcPr>
          <w:p w14:paraId="4319B4B9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7</w:t>
            </w:r>
          </w:p>
        </w:tc>
        <w:tc>
          <w:tcPr>
            <w:tcW w:w="3260" w:type="dxa"/>
            <w:vAlign w:val="center"/>
          </w:tcPr>
          <w:p w14:paraId="4C370475" w14:textId="77777777" w:rsidR="008F1F0D" w:rsidRPr="008F1F0D" w:rsidRDefault="008F1F0D" w:rsidP="008F1F0D">
            <w:pPr>
              <w:bidi w:val="0"/>
              <w:spacing w:after="120" w:line="300" w:lineRule="auto"/>
              <w:rPr>
                <w:rFonts w:eastAsia="Arial" w:cs="Times New Roman"/>
                <w:b/>
                <w:bCs/>
                <w:sz w:val="20"/>
                <w:szCs w:val="20"/>
                <w:lang w:val="x-none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0"/>
                <w:szCs w:val="20"/>
                <w:lang w:val="x-none" w:eastAsia="x-none" w:bidi="fa-IR"/>
              </w:rPr>
              <w:t>Sample of test report</w:t>
            </w:r>
          </w:p>
        </w:tc>
        <w:tc>
          <w:tcPr>
            <w:tcW w:w="3544" w:type="dxa"/>
            <w:vAlign w:val="center"/>
          </w:tcPr>
          <w:p w14:paraId="75B2E1E1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906BB9" w14:textId="77777777" w:rsidR="008F1F0D" w:rsidRPr="008F1F0D" w:rsidRDefault="008F1F0D" w:rsidP="008F1F0D">
            <w:pPr>
              <w:bidi w:val="0"/>
              <w:jc w:val="center"/>
              <w:rPr>
                <w:rFonts w:eastAsia="Calibri" w:cs="Times New Roman"/>
                <w:b/>
                <w:bCs/>
              </w:rPr>
            </w:pPr>
            <w:r w:rsidRPr="008F1F0D">
              <w:rPr>
                <w:rFonts w:eastAsia="Calibri" w:cs="Times New Roman"/>
                <w:b/>
                <w:bCs/>
              </w:rPr>
              <w:t>6</w:t>
            </w:r>
          </w:p>
        </w:tc>
      </w:tr>
    </w:tbl>
    <w:p w14:paraId="20906A8C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4"/>
        </w:rPr>
      </w:pPr>
    </w:p>
    <w:p w14:paraId="5F54435E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4"/>
        </w:rPr>
      </w:pPr>
    </w:p>
    <w:p w14:paraId="3EA94411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7EA50E9F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1D2EF0C9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2CD80EC9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77BBFE99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02231BA9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17E8E169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5C1C49C5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4446E621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6EF7587A" w14:textId="58B8CF21" w:rsid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44EF0A37" w14:textId="2167C908" w:rsid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259804B6" w14:textId="53F9748F" w:rsid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23F985DE" w14:textId="3691490D" w:rsid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7EAC426C" w14:textId="317D2D1C" w:rsid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2A385906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220A2E04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7B94264B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</w:p>
    <w:p w14:paraId="7D8DF916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Arial" w:cs="Times New Roman"/>
          <w:b/>
          <w:sz w:val="24"/>
          <w:lang w:val="en-GB" w:eastAsia="x-none" w:bidi="fa-IR"/>
        </w:rPr>
      </w:pPr>
      <w:bookmarkStart w:id="0" w:name="_Toc115282705"/>
      <w:r w:rsidRPr="008F1F0D">
        <w:rPr>
          <w:rFonts w:eastAsia="Arial" w:cs="Times New Roman"/>
          <w:b/>
          <w:sz w:val="24"/>
          <w:lang w:val="en-GB" w:eastAsia="x-none" w:bidi="fa-IR"/>
        </w:rPr>
        <w:lastRenderedPageBreak/>
        <w:t>Scope</w:t>
      </w:r>
      <w:bookmarkEnd w:id="0"/>
    </w:p>
    <w:p w14:paraId="4A99CC49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Th</w:t>
      </w:r>
      <w:r w:rsidRPr="008F1F0D">
        <w:rPr>
          <w:rFonts w:eastAsia="Arial" w:cs="Times New Roman"/>
          <w:sz w:val="22"/>
          <w:szCs w:val="22"/>
          <w:lang w:eastAsia="x-none" w:bidi="fa-IR"/>
        </w:rPr>
        <w:t>is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 xml:space="preserve"> procedures </w:t>
      </w:r>
      <w:r w:rsidRPr="008F1F0D">
        <w:rPr>
          <w:rFonts w:eastAsia="Arial" w:cs="Times New Roman"/>
          <w:sz w:val="22"/>
          <w:szCs w:val="22"/>
          <w:lang w:eastAsia="x-none" w:bidi="fa-IR"/>
        </w:rPr>
        <w:t>outlines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 xml:space="preserve"> necessary requirements for chemical pickling and passivation of </w:t>
      </w:r>
      <w:r w:rsidRPr="008F1F0D">
        <w:rPr>
          <w:rFonts w:eastAsia="Arial" w:cs="Times New Roman"/>
          <w:sz w:val="22"/>
          <w:szCs w:val="22"/>
          <w:lang w:eastAsia="x-none" w:bidi="fa-IR"/>
        </w:rPr>
        <w:t xml:space="preserve">welded 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>stainless</w:t>
      </w:r>
      <w:r w:rsidRPr="008F1F0D">
        <w:rPr>
          <w:rFonts w:eastAsia="Arial" w:cs="Times New Roman"/>
          <w:sz w:val="22"/>
          <w:szCs w:val="22"/>
          <w:lang w:eastAsia="x-none" w:bidi="fa-IR"/>
        </w:rPr>
        <w:t>-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>steel surfaces</w:t>
      </w:r>
      <w:r w:rsidRPr="008F1F0D">
        <w:rPr>
          <w:rFonts w:eastAsia="Arial" w:cs="Times New Roman"/>
          <w:sz w:val="22"/>
          <w:szCs w:val="22"/>
          <w:lang w:eastAsia="x-none" w:bidi="fa-IR"/>
        </w:rPr>
        <w:t>.</w:t>
      </w:r>
    </w:p>
    <w:tbl>
      <w:tblPr>
        <w:tblW w:w="7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011"/>
      </w:tblGrid>
      <w:tr w:rsidR="008F1F0D" w:rsidRPr="008F1F0D" w14:paraId="54B7D97A" w14:textId="77777777" w:rsidTr="00857E09">
        <w:trPr>
          <w:trHeight w:val="28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93ED9C6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b/>
                <w:bCs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x-none" w:eastAsia="x-none" w:bidi="fa-IR"/>
              </w:rPr>
              <w:t>Part</w:t>
            </w:r>
          </w:p>
        </w:tc>
        <w:tc>
          <w:tcPr>
            <w:tcW w:w="5011" w:type="dxa"/>
            <w:shd w:val="clear" w:color="auto" w:fill="D9D9D9"/>
            <w:vAlign w:val="center"/>
          </w:tcPr>
          <w:p w14:paraId="4B353ED2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b/>
                <w:bCs/>
                <w:sz w:val="22"/>
                <w:szCs w:val="22"/>
                <w:lang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x-none" w:eastAsia="x-none" w:bidi="fa-IR"/>
              </w:rPr>
              <w:t>Tag No</w:t>
            </w: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eastAsia="x-none" w:bidi="fa-IR"/>
              </w:rPr>
              <w:t>.</w:t>
            </w:r>
          </w:p>
        </w:tc>
      </w:tr>
      <w:tr w:rsidR="008F1F0D" w:rsidRPr="008F1F0D" w14:paraId="092EDFE6" w14:textId="77777777" w:rsidTr="00857E09">
        <w:trPr>
          <w:trHeight w:val="26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1EF955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SA-240 316L</w:t>
            </w:r>
          </w:p>
        </w:tc>
        <w:tc>
          <w:tcPr>
            <w:tcW w:w="5011" w:type="dxa"/>
            <w:vAlign w:val="center"/>
          </w:tcPr>
          <w:p w14:paraId="3B500DD1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C-200 / E-100</w:t>
            </w:r>
          </w:p>
        </w:tc>
      </w:tr>
      <w:tr w:rsidR="008F1F0D" w:rsidRPr="008F1F0D" w14:paraId="0DFC7640" w14:textId="77777777" w:rsidTr="00857E09">
        <w:trPr>
          <w:trHeight w:val="26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502D47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SA-312 TP316L</w:t>
            </w:r>
          </w:p>
        </w:tc>
        <w:tc>
          <w:tcPr>
            <w:tcW w:w="5011" w:type="dxa"/>
            <w:vAlign w:val="center"/>
          </w:tcPr>
          <w:p w14:paraId="2CE5FBDF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C-200 / E-200 / E-100</w:t>
            </w:r>
          </w:p>
        </w:tc>
      </w:tr>
      <w:tr w:rsidR="008F1F0D" w:rsidRPr="008F1F0D" w14:paraId="74D5D558" w14:textId="77777777" w:rsidTr="00857E09">
        <w:trPr>
          <w:trHeight w:val="26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513FBB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SA-403 WP 316L</w:t>
            </w:r>
          </w:p>
        </w:tc>
        <w:tc>
          <w:tcPr>
            <w:tcW w:w="5011" w:type="dxa"/>
            <w:vAlign w:val="center"/>
          </w:tcPr>
          <w:p w14:paraId="2D06B18A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E-100</w:t>
            </w:r>
          </w:p>
        </w:tc>
      </w:tr>
      <w:tr w:rsidR="008F1F0D" w:rsidRPr="008F1F0D" w14:paraId="72785D58" w14:textId="77777777" w:rsidTr="00857E09">
        <w:trPr>
          <w:trHeight w:val="26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66857B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SA-182 F316L</w:t>
            </w:r>
          </w:p>
        </w:tc>
        <w:tc>
          <w:tcPr>
            <w:tcW w:w="5011" w:type="dxa"/>
            <w:vAlign w:val="center"/>
          </w:tcPr>
          <w:p w14:paraId="5A1BAAE8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C-200 / E-200 / E-100</w:t>
            </w:r>
          </w:p>
        </w:tc>
      </w:tr>
      <w:tr w:rsidR="008F1F0D" w:rsidRPr="008F1F0D" w14:paraId="51279C93" w14:textId="77777777" w:rsidTr="00857E09">
        <w:trPr>
          <w:trHeight w:val="2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A1FBB9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SA-213 TP316L</w:t>
            </w:r>
          </w:p>
        </w:tc>
        <w:tc>
          <w:tcPr>
            <w:tcW w:w="5011" w:type="dxa"/>
            <w:vAlign w:val="center"/>
          </w:tcPr>
          <w:p w14:paraId="77429A55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20" w:line="300" w:lineRule="auto"/>
              <w:jc w:val="center"/>
              <w:textAlignment w:val="baseline"/>
              <w:rPr>
                <w:rFonts w:eastAsia="Arial" w:cs="Times New Roman"/>
                <w:sz w:val="22"/>
                <w:szCs w:val="22"/>
                <w:lang w:val="x-none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x-none" w:eastAsia="x-none" w:bidi="fa-IR"/>
              </w:rPr>
              <w:t>E-200 / E-100</w:t>
            </w:r>
          </w:p>
        </w:tc>
      </w:tr>
    </w:tbl>
    <w:p w14:paraId="77AE8A3E" w14:textId="77777777" w:rsidR="008F1F0D" w:rsidRPr="008F1F0D" w:rsidRDefault="008F1F0D" w:rsidP="008F1F0D">
      <w:pPr>
        <w:bidi w:val="0"/>
        <w:spacing w:after="120" w:line="300" w:lineRule="auto"/>
        <w:jc w:val="both"/>
        <w:rPr>
          <w:rFonts w:eastAsia="Arial" w:cs="Times New Roman"/>
          <w:sz w:val="22"/>
          <w:szCs w:val="22"/>
          <w:lang w:eastAsia="x-none" w:bidi="fa-IR"/>
        </w:rPr>
      </w:pPr>
    </w:p>
    <w:p w14:paraId="7DFA5A5D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Arial" w:cs="Times New Roman"/>
          <w:b/>
          <w:sz w:val="24"/>
          <w:lang w:val="en-GB" w:eastAsia="x-none" w:bidi="fa-IR"/>
        </w:rPr>
      </w:pPr>
      <w:bookmarkStart w:id="1" w:name="_Toc191713430"/>
      <w:r w:rsidRPr="008F1F0D">
        <w:rPr>
          <w:rFonts w:eastAsia="Arial" w:cs="Times New Roman"/>
          <w:b/>
          <w:sz w:val="24"/>
          <w:lang w:val="en-GB" w:eastAsia="x-none" w:bidi="fa-IR"/>
        </w:rPr>
        <w:t>DEFINITIONS</w:t>
      </w:r>
      <w:bookmarkEnd w:id="1"/>
    </w:p>
    <w:tbl>
      <w:tblPr>
        <w:tblW w:w="10532" w:type="dxa"/>
        <w:tblInd w:w="108" w:type="dxa"/>
        <w:tblLook w:val="04A0" w:firstRow="1" w:lastRow="0" w:firstColumn="1" w:lastColumn="0" w:noHBand="0" w:noVBand="1"/>
      </w:tblPr>
      <w:tblGrid>
        <w:gridCol w:w="3925"/>
        <w:gridCol w:w="6607"/>
      </w:tblGrid>
      <w:tr w:rsidR="008F1F0D" w:rsidRPr="008F1F0D" w14:paraId="7AD79D34" w14:textId="77777777" w:rsidTr="00857E09">
        <w:trPr>
          <w:trHeight w:val="214"/>
        </w:trPr>
        <w:tc>
          <w:tcPr>
            <w:tcW w:w="3925" w:type="dxa"/>
            <w:shd w:val="clear" w:color="auto" w:fill="auto"/>
          </w:tcPr>
          <w:p w14:paraId="0869AD15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>CLIENT:</w:t>
            </w: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ab/>
            </w:r>
          </w:p>
        </w:tc>
        <w:tc>
          <w:tcPr>
            <w:tcW w:w="6607" w:type="dxa"/>
            <w:shd w:val="clear" w:color="auto" w:fill="auto"/>
          </w:tcPr>
          <w:p w14:paraId="5921A584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 xml:space="preserve">National Iranian South Oilfields Company (NISOC) </w:t>
            </w:r>
          </w:p>
        </w:tc>
      </w:tr>
      <w:tr w:rsidR="008F1F0D" w:rsidRPr="008F1F0D" w14:paraId="72D51D9E" w14:textId="77777777" w:rsidTr="00857E09">
        <w:trPr>
          <w:trHeight w:val="416"/>
        </w:trPr>
        <w:tc>
          <w:tcPr>
            <w:tcW w:w="3925" w:type="dxa"/>
            <w:shd w:val="clear" w:color="auto" w:fill="auto"/>
          </w:tcPr>
          <w:p w14:paraId="3CB6D571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>PROJECT:</w:t>
            </w:r>
          </w:p>
        </w:tc>
        <w:tc>
          <w:tcPr>
            <w:tcW w:w="6607" w:type="dxa"/>
            <w:shd w:val="clear" w:color="auto" w:fill="auto"/>
          </w:tcPr>
          <w:p w14:paraId="4D272C23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>Binak Oilfield Development – General Facilities</w:t>
            </w:r>
          </w:p>
        </w:tc>
      </w:tr>
      <w:tr w:rsidR="008F1F0D" w:rsidRPr="008F1F0D" w14:paraId="34845ADB" w14:textId="77777777" w:rsidTr="00857E09">
        <w:trPr>
          <w:trHeight w:val="309"/>
        </w:trPr>
        <w:tc>
          <w:tcPr>
            <w:tcW w:w="3925" w:type="dxa"/>
            <w:shd w:val="clear" w:color="auto" w:fill="auto"/>
          </w:tcPr>
          <w:p w14:paraId="74DE2D9B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jc w:val="both"/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>EPD/EPC CONTRACTOR (GC):</w:t>
            </w:r>
          </w:p>
        </w:tc>
        <w:tc>
          <w:tcPr>
            <w:tcW w:w="6607" w:type="dxa"/>
            <w:shd w:val="clear" w:color="auto" w:fill="auto"/>
          </w:tcPr>
          <w:p w14:paraId="0A889337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>Petro Iran Development Company (PEDCO)</w:t>
            </w:r>
          </w:p>
        </w:tc>
      </w:tr>
      <w:tr w:rsidR="008F1F0D" w:rsidRPr="008F1F0D" w14:paraId="0FD76461" w14:textId="77777777" w:rsidTr="00857E09">
        <w:trPr>
          <w:trHeight w:val="345"/>
        </w:trPr>
        <w:tc>
          <w:tcPr>
            <w:tcW w:w="3925" w:type="dxa"/>
            <w:shd w:val="clear" w:color="auto" w:fill="auto"/>
          </w:tcPr>
          <w:p w14:paraId="549E4E09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>EPC CONTRACTOR:</w:t>
            </w:r>
          </w:p>
        </w:tc>
        <w:tc>
          <w:tcPr>
            <w:tcW w:w="6607" w:type="dxa"/>
            <w:shd w:val="clear" w:color="auto" w:fill="auto"/>
          </w:tcPr>
          <w:p w14:paraId="58249E3D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 xml:space="preserve">Joint Venture of: </w:t>
            </w:r>
            <w:proofErr w:type="spellStart"/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>Hirgan</w:t>
            </w:r>
            <w:proofErr w:type="spellEnd"/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 xml:space="preserve"> Energy – Design &amp; Inspection(D&amp;I) Companies</w:t>
            </w:r>
          </w:p>
        </w:tc>
      </w:tr>
      <w:tr w:rsidR="008F1F0D" w:rsidRPr="008F1F0D" w14:paraId="598D278B" w14:textId="77777777" w:rsidTr="00857E09">
        <w:trPr>
          <w:trHeight w:val="381"/>
        </w:trPr>
        <w:tc>
          <w:tcPr>
            <w:tcW w:w="3925" w:type="dxa"/>
            <w:shd w:val="clear" w:color="auto" w:fill="auto"/>
          </w:tcPr>
          <w:p w14:paraId="55328506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b/>
                <w:bCs/>
                <w:sz w:val="22"/>
                <w:szCs w:val="22"/>
                <w:lang w:val="en-GB" w:eastAsia="x-none" w:bidi="fa-IR"/>
              </w:rPr>
              <w:t>VENDOR:</w:t>
            </w:r>
          </w:p>
        </w:tc>
        <w:tc>
          <w:tcPr>
            <w:tcW w:w="6607" w:type="dxa"/>
            <w:shd w:val="clear" w:color="auto" w:fill="auto"/>
          </w:tcPr>
          <w:p w14:paraId="0E262255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  <w:r w:rsidRPr="008F1F0D">
              <w:rPr>
                <w:rFonts w:eastAsia="Arial" w:cs="Times New Roman"/>
                <w:sz w:val="22"/>
                <w:szCs w:val="22"/>
                <w:lang w:val="en-GB" w:eastAsia="x-none" w:bidi="fa-IR"/>
              </w:rPr>
              <w:t>MFS Co.</w:t>
            </w:r>
          </w:p>
          <w:p w14:paraId="67FFC09D" w14:textId="77777777" w:rsidR="008F1F0D" w:rsidRPr="008F1F0D" w:rsidRDefault="008F1F0D" w:rsidP="008F1F0D">
            <w:pPr>
              <w:bidi w:val="0"/>
              <w:spacing w:after="120" w:line="300" w:lineRule="auto"/>
              <w:ind w:left="454"/>
              <w:rPr>
                <w:rFonts w:eastAsia="Arial" w:cs="Times New Roman"/>
                <w:sz w:val="22"/>
                <w:szCs w:val="22"/>
                <w:lang w:val="en-GB" w:eastAsia="x-none" w:bidi="fa-IR"/>
              </w:rPr>
            </w:pPr>
          </w:p>
        </w:tc>
      </w:tr>
    </w:tbl>
    <w:p w14:paraId="1732D78A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SimSun" w:cs="Times New Roman"/>
          <w:b/>
          <w:bCs/>
          <w:caps/>
          <w:snapToGrid w:val="0"/>
          <w:color w:val="000000"/>
          <w:kern w:val="28"/>
          <w:sz w:val="22"/>
          <w:szCs w:val="20"/>
          <w:lang w:val="en-GB" w:eastAsia="x-none" w:bidi="fa-IR"/>
        </w:rPr>
      </w:pPr>
      <w:bookmarkStart w:id="2" w:name="_Toc191713431"/>
      <w:r w:rsidRPr="008F1F0D">
        <w:rPr>
          <w:rFonts w:eastAsia="SimSun" w:cs="Times New Roman"/>
          <w:b/>
          <w:bCs/>
          <w:caps/>
          <w:snapToGrid w:val="0"/>
          <w:color w:val="000000"/>
          <w:kern w:val="28"/>
          <w:sz w:val="22"/>
          <w:szCs w:val="20"/>
          <w:lang w:val="en-GB" w:eastAsia="x-none" w:bidi="fa-IR"/>
        </w:rPr>
        <w:t>Reference Documents</w:t>
      </w:r>
      <w:bookmarkEnd w:id="2"/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853"/>
      </w:tblGrid>
      <w:tr w:rsidR="008F1F0D" w:rsidRPr="008F1F0D" w14:paraId="15C5C206" w14:textId="77777777" w:rsidTr="00857E09">
        <w:trPr>
          <w:trHeight w:val="321"/>
          <w:jc w:val="center"/>
        </w:trPr>
        <w:tc>
          <w:tcPr>
            <w:tcW w:w="8936" w:type="dxa"/>
            <w:gridSpan w:val="2"/>
            <w:shd w:val="clear" w:color="auto" w:fill="BFBFBF"/>
            <w:vAlign w:val="center"/>
          </w:tcPr>
          <w:p w14:paraId="14838D05" w14:textId="77777777" w:rsidR="008F1F0D" w:rsidRPr="008F1F0D" w:rsidRDefault="008F1F0D" w:rsidP="008F1F0D">
            <w:pPr>
              <w:widowControl w:val="0"/>
              <w:tabs>
                <w:tab w:val="left" w:pos="360"/>
                <w:tab w:val="num" w:pos="630"/>
                <w:tab w:val="left" w:pos="720"/>
                <w:tab w:val="left" w:pos="1440"/>
                <w:tab w:val="left" w:pos="9000"/>
                <w:tab w:val="right" w:pos="9480"/>
              </w:tabs>
              <w:suppressAutoHyphens/>
              <w:bidi w:val="0"/>
              <w:spacing w:after="100" w:line="259" w:lineRule="auto"/>
              <w:rPr>
                <w:rFonts w:eastAsia="SimSun" w:cs="Times New Roman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F1F0D">
              <w:rPr>
                <w:rFonts w:eastAsia="SimSun" w:cs="Times New Roman"/>
                <w:snapToGrid w:val="0"/>
                <w:sz w:val="22"/>
                <w:szCs w:val="22"/>
                <w:lang w:val="en-GB"/>
              </w:rPr>
              <w:t>Standard</w:t>
            </w:r>
          </w:p>
        </w:tc>
      </w:tr>
      <w:tr w:rsidR="008F1F0D" w:rsidRPr="008F1F0D" w14:paraId="73E80BDD" w14:textId="77777777" w:rsidTr="00857E09">
        <w:trPr>
          <w:trHeight w:val="53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5EB12569" w14:textId="77777777" w:rsidR="008F1F0D" w:rsidRPr="008F1F0D" w:rsidRDefault="008F1F0D" w:rsidP="008F1F0D">
            <w:pPr>
              <w:widowControl w:val="0"/>
              <w:tabs>
                <w:tab w:val="left" w:pos="360"/>
                <w:tab w:val="num" w:pos="630"/>
                <w:tab w:val="left" w:pos="720"/>
                <w:tab w:val="left" w:pos="1440"/>
                <w:tab w:val="left" w:pos="9000"/>
                <w:tab w:val="right" w:pos="9480"/>
              </w:tabs>
              <w:suppressAutoHyphens/>
              <w:bidi w:val="0"/>
              <w:spacing w:after="100" w:line="259" w:lineRule="auto"/>
              <w:jc w:val="both"/>
              <w:rPr>
                <w:rFonts w:eastAsia="SimSun" w:cs="Times New Roman"/>
                <w:b/>
                <w:bCs/>
                <w:snapToGrid w:val="0"/>
                <w:szCs w:val="20"/>
                <w:lang w:val="en-GB"/>
              </w:rPr>
            </w:pPr>
            <w:r w:rsidRPr="008F1F0D">
              <w:rPr>
                <w:rFonts w:eastAsia="SimSun" w:cs="Times New Roman"/>
                <w:snapToGrid w:val="0"/>
                <w:szCs w:val="20"/>
                <w:lang w:val="en-GB"/>
              </w:rPr>
              <w:t>Standard Practice for Cleaning, Descaling, and Passivation of Stainless-Steel Parts, Equipment, and Systems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CF5270D" w14:textId="77777777" w:rsidR="008F1F0D" w:rsidRPr="008F1F0D" w:rsidRDefault="008F1F0D" w:rsidP="008F1F0D">
            <w:pPr>
              <w:widowControl w:val="0"/>
              <w:tabs>
                <w:tab w:val="left" w:pos="360"/>
                <w:tab w:val="num" w:pos="630"/>
                <w:tab w:val="left" w:pos="720"/>
                <w:tab w:val="left" w:pos="1440"/>
                <w:tab w:val="left" w:pos="9000"/>
                <w:tab w:val="right" w:pos="9480"/>
              </w:tabs>
              <w:suppressAutoHyphens/>
              <w:bidi w:val="0"/>
              <w:spacing w:after="100" w:line="259" w:lineRule="auto"/>
              <w:jc w:val="center"/>
              <w:rPr>
                <w:rFonts w:eastAsia="SimSun" w:cs="Times New Roman"/>
                <w:b/>
                <w:bCs/>
                <w:snapToGrid w:val="0"/>
                <w:szCs w:val="20"/>
                <w:lang w:val="en-GB"/>
              </w:rPr>
            </w:pPr>
            <w:r w:rsidRPr="008F1F0D">
              <w:rPr>
                <w:rFonts w:eastAsia="SimSun" w:cs="Times New Roman"/>
                <w:snapToGrid w:val="0"/>
                <w:szCs w:val="20"/>
                <w:lang w:val="en-GB"/>
              </w:rPr>
              <w:t>ASTM A380_2017</w:t>
            </w:r>
          </w:p>
        </w:tc>
      </w:tr>
      <w:tr w:rsidR="008F1F0D" w:rsidRPr="008F1F0D" w14:paraId="1C99583C" w14:textId="77777777" w:rsidTr="00857E09">
        <w:trPr>
          <w:trHeight w:val="321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81C1DF0" w14:textId="77777777" w:rsidR="008F1F0D" w:rsidRPr="008F1F0D" w:rsidRDefault="008F1F0D" w:rsidP="008F1F0D">
            <w:pPr>
              <w:widowControl w:val="0"/>
              <w:tabs>
                <w:tab w:val="left" w:pos="360"/>
                <w:tab w:val="num" w:pos="630"/>
                <w:tab w:val="left" w:pos="720"/>
                <w:tab w:val="left" w:pos="1440"/>
                <w:tab w:val="left" w:pos="9000"/>
                <w:tab w:val="right" w:pos="9480"/>
              </w:tabs>
              <w:suppressAutoHyphens/>
              <w:bidi w:val="0"/>
              <w:spacing w:after="100" w:line="259" w:lineRule="auto"/>
              <w:jc w:val="both"/>
              <w:rPr>
                <w:rFonts w:eastAsia="SimSun" w:cs="Times New Roman"/>
                <w:b/>
                <w:bCs/>
                <w:snapToGrid w:val="0"/>
                <w:szCs w:val="20"/>
                <w:lang w:val="en-GB"/>
              </w:rPr>
            </w:pPr>
            <w:r w:rsidRPr="008F1F0D">
              <w:rPr>
                <w:rFonts w:eastAsia="SimSun" w:cs="Times New Roman"/>
                <w:snapToGrid w:val="0"/>
                <w:szCs w:val="20"/>
                <w:lang w:val="en-GB"/>
              </w:rPr>
              <w:t>Standard Specification for Chemical Passivation Treatments for Stainless Steel Parts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9B55561" w14:textId="77777777" w:rsidR="008F1F0D" w:rsidRPr="008F1F0D" w:rsidRDefault="008F1F0D" w:rsidP="008F1F0D">
            <w:pPr>
              <w:widowControl w:val="0"/>
              <w:tabs>
                <w:tab w:val="left" w:pos="360"/>
                <w:tab w:val="num" w:pos="630"/>
                <w:tab w:val="left" w:pos="720"/>
                <w:tab w:val="left" w:pos="1440"/>
                <w:tab w:val="left" w:pos="9000"/>
                <w:tab w:val="right" w:pos="9480"/>
              </w:tabs>
              <w:suppressAutoHyphens/>
              <w:bidi w:val="0"/>
              <w:spacing w:after="100" w:line="259" w:lineRule="auto"/>
              <w:jc w:val="center"/>
              <w:rPr>
                <w:rFonts w:eastAsia="SimSun" w:cs="Times New Roman"/>
                <w:b/>
                <w:bCs/>
                <w:snapToGrid w:val="0"/>
                <w:szCs w:val="20"/>
                <w:lang w:val="en-GB"/>
              </w:rPr>
            </w:pPr>
            <w:r w:rsidRPr="008F1F0D">
              <w:rPr>
                <w:rFonts w:eastAsia="SimSun" w:cs="Times New Roman"/>
                <w:snapToGrid w:val="0"/>
                <w:szCs w:val="20"/>
                <w:lang w:val="en-GB"/>
              </w:rPr>
              <w:t>ASTM A967_2017</w:t>
            </w:r>
          </w:p>
        </w:tc>
      </w:tr>
    </w:tbl>
    <w:p w14:paraId="41DAC226" w14:textId="77777777" w:rsidR="008F1F0D" w:rsidRPr="008F1F0D" w:rsidRDefault="008F1F0D" w:rsidP="008F1F0D">
      <w:pPr>
        <w:bidi w:val="0"/>
        <w:spacing w:after="120" w:line="300" w:lineRule="auto"/>
        <w:rPr>
          <w:rFonts w:eastAsia="SimSun" w:cs="Times New Roman"/>
          <w:b/>
          <w:bCs/>
          <w:caps/>
          <w:snapToGrid w:val="0"/>
          <w:color w:val="000000"/>
          <w:kern w:val="28"/>
          <w:sz w:val="10"/>
          <w:szCs w:val="8"/>
          <w:lang w:val="en-GB" w:eastAsia="x-none" w:bidi="fa-IR"/>
        </w:rPr>
      </w:pPr>
    </w:p>
    <w:p w14:paraId="0057092B" w14:textId="77777777" w:rsidR="008F1F0D" w:rsidRPr="008F1F0D" w:rsidRDefault="008F1F0D" w:rsidP="008F1F0D">
      <w:pPr>
        <w:bidi w:val="0"/>
        <w:spacing w:after="120" w:line="300" w:lineRule="auto"/>
        <w:rPr>
          <w:rFonts w:eastAsia="SimSun" w:cs="Times New Roman"/>
          <w:b/>
          <w:bCs/>
          <w:caps/>
          <w:snapToGrid w:val="0"/>
          <w:color w:val="000000"/>
          <w:kern w:val="28"/>
          <w:sz w:val="10"/>
          <w:szCs w:val="8"/>
          <w:lang w:val="en-GB" w:eastAsia="x-none" w:bidi="fa-IR"/>
        </w:rPr>
      </w:pPr>
    </w:p>
    <w:p w14:paraId="26077689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SimSun" w:cs="Times New Roman"/>
          <w:b/>
          <w:bCs/>
          <w:caps/>
          <w:snapToGrid w:val="0"/>
          <w:color w:val="000000"/>
          <w:kern w:val="28"/>
          <w:sz w:val="22"/>
          <w:szCs w:val="20"/>
          <w:lang w:val="en-GB" w:eastAsia="x-none" w:bidi="fa-IR"/>
        </w:rPr>
      </w:pPr>
      <w:bookmarkStart w:id="3" w:name="_Toc184635529"/>
      <w:r w:rsidRPr="008F1F0D">
        <w:rPr>
          <w:rFonts w:eastAsia="SimSun" w:cs="Times New Roman"/>
          <w:b/>
          <w:bCs/>
          <w:caps/>
          <w:snapToGrid w:val="0"/>
          <w:color w:val="000000"/>
          <w:kern w:val="28"/>
          <w:sz w:val="22"/>
          <w:szCs w:val="20"/>
          <w:lang w:val="en-GB" w:eastAsia="x-none" w:bidi="fa-IR"/>
        </w:rPr>
        <w:t>USE OF LANGUAGE</w:t>
      </w:r>
      <w:bookmarkEnd w:id="3"/>
    </w:p>
    <w:p w14:paraId="075B3D4B" w14:textId="77777777" w:rsidR="008F1F0D" w:rsidRPr="008F1F0D" w:rsidRDefault="008F1F0D" w:rsidP="008F1F0D">
      <w:pPr>
        <w:bidi w:val="0"/>
        <w:spacing w:after="160" w:line="259" w:lineRule="auto"/>
        <w:ind w:left="360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Throughout this specification, the words "will", "may", "should", "shall" when used have the following meanings:</w:t>
      </w:r>
    </w:p>
    <w:p w14:paraId="524B07BD" w14:textId="77777777" w:rsidR="008F1F0D" w:rsidRPr="008F1F0D" w:rsidRDefault="008F1F0D" w:rsidP="008F1F0D">
      <w:pPr>
        <w:bidi w:val="0"/>
        <w:spacing w:after="160" w:line="259" w:lineRule="auto"/>
        <w:ind w:left="360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•</w:t>
      </w:r>
      <w:r w:rsidRPr="008F1F0D">
        <w:rPr>
          <w:rFonts w:eastAsia="Calibri" w:cs="Times New Roman"/>
          <w:sz w:val="22"/>
          <w:szCs w:val="22"/>
        </w:rPr>
        <w:tab/>
        <w:t>“Will” is used normally in conjunction with an action.</w:t>
      </w:r>
    </w:p>
    <w:p w14:paraId="2374BEEB" w14:textId="77777777" w:rsidR="008F1F0D" w:rsidRPr="008F1F0D" w:rsidRDefault="008F1F0D" w:rsidP="008F1F0D">
      <w:pPr>
        <w:bidi w:val="0"/>
        <w:spacing w:after="160" w:line="259" w:lineRule="auto"/>
        <w:ind w:left="360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•</w:t>
      </w:r>
      <w:r w:rsidRPr="008F1F0D">
        <w:rPr>
          <w:rFonts w:eastAsia="Calibri" w:cs="Times New Roman"/>
          <w:sz w:val="22"/>
          <w:szCs w:val="22"/>
        </w:rPr>
        <w:tab/>
        <w:t>“May” is used where alternatives are equally acceptable.</w:t>
      </w:r>
    </w:p>
    <w:p w14:paraId="50CD0E5E" w14:textId="77777777" w:rsidR="008F1F0D" w:rsidRPr="008F1F0D" w:rsidRDefault="008F1F0D" w:rsidP="008F1F0D">
      <w:pPr>
        <w:bidi w:val="0"/>
        <w:spacing w:after="160" w:line="259" w:lineRule="auto"/>
        <w:ind w:left="360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•</w:t>
      </w:r>
      <w:r w:rsidRPr="008F1F0D">
        <w:rPr>
          <w:rFonts w:eastAsia="Calibri" w:cs="Times New Roman"/>
          <w:sz w:val="22"/>
          <w:szCs w:val="22"/>
        </w:rPr>
        <w:tab/>
        <w:t>“Should” is used where a solution is preferred.</w:t>
      </w:r>
    </w:p>
    <w:p w14:paraId="65AD138C" w14:textId="77777777" w:rsidR="008F1F0D" w:rsidRPr="008F1F0D" w:rsidRDefault="008F1F0D" w:rsidP="008F1F0D">
      <w:pPr>
        <w:bidi w:val="0"/>
        <w:spacing w:after="160" w:line="259" w:lineRule="auto"/>
        <w:ind w:left="360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lastRenderedPageBreak/>
        <w:t>•</w:t>
      </w:r>
      <w:r w:rsidRPr="008F1F0D">
        <w:rPr>
          <w:rFonts w:eastAsia="Calibri" w:cs="Times New Roman"/>
          <w:sz w:val="22"/>
          <w:szCs w:val="22"/>
        </w:rPr>
        <w:tab/>
        <w:t>“Shall” is used where a provision is mandatory.</w:t>
      </w:r>
    </w:p>
    <w:p w14:paraId="3BD3D52D" w14:textId="77777777" w:rsidR="008F1F0D" w:rsidRPr="008F1F0D" w:rsidRDefault="008F1F0D" w:rsidP="008F1F0D">
      <w:pPr>
        <w:bidi w:val="0"/>
        <w:spacing w:after="120" w:line="300" w:lineRule="auto"/>
        <w:rPr>
          <w:rFonts w:eastAsia="SimSun" w:cs="Times New Roman"/>
          <w:b/>
          <w:bCs/>
          <w:caps/>
          <w:snapToGrid w:val="0"/>
          <w:color w:val="000000"/>
          <w:kern w:val="28"/>
          <w:sz w:val="22"/>
          <w:szCs w:val="20"/>
          <w:lang w:val="en-GB" w:eastAsia="x-none" w:bidi="fa-IR"/>
        </w:rPr>
      </w:pPr>
    </w:p>
    <w:p w14:paraId="48A5E7BA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Arial" w:cs="Times New Roman"/>
          <w:b/>
          <w:bCs/>
          <w:sz w:val="24"/>
          <w:lang w:val="x-none" w:eastAsia="x-none" w:bidi="fa-IR"/>
        </w:rPr>
      </w:pPr>
      <w:r w:rsidRPr="008F1F0D">
        <w:rPr>
          <w:rFonts w:eastAsia="Arial" w:cs="Times New Roman"/>
          <w:b/>
          <w:bCs/>
          <w:sz w:val="24"/>
          <w:lang w:val="x-none" w:eastAsia="x-none" w:bidi="fa-IR"/>
        </w:rPr>
        <w:t>Protection</w:t>
      </w:r>
    </w:p>
    <w:p w14:paraId="1FB7B63F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Personnel shall use anti acid equipment such as face protection helmet, gloves &amp; etc. in order to prevent any harm effect of acid on human body.</w:t>
      </w:r>
    </w:p>
    <w:p w14:paraId="65D74309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val="x-none" w:eastAsia="x-none" w:bidi="fa-IR"/>
        </w:rPr>
      </w:pPr>
    </w:p>
    <w:p w14:paraId="0E339A4C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Arial" w:cs="Times New Roman"/>
          <w:b/>
          <w:bCs/>
          <w:sz w:val="24"/>
          <w:lang w:val="x-none" w:eastAsia="x-none" w:bidi="fa-IR"/>
        </w:rPr>
      </w:pPr>
      <w:bookmarkStart w:id="4" w:name="_Toc115282708"/>
      <w:r w:rsidRPr="008F1F0D">
        <w:rPr>
          <w:rFonts w:eastAsia="Arial" w:cs="Times New Roman"/>
          <w:b/>
          <w:bCs/>
          <w:sz w:val="24"/>
          <w:lang w:val="x-none" w:eastAsia="x-none" w:bidi="fa-IR"/>
        </w:rPr>
        <w:t>Cycle Stages</w:t>
      </w:r>
      <w:bookmarkEnd w:id="4"/>
    </w:p>
    <w:p w14:paraId="6CB309E8" w14:textId="77777777" w:rsidR="008F1F0D" w:rsidRPr="008F1F0D" w:rsidRDefault="008F1F0D" w:rsidP="008F1F0D">
      <w:pPr>
        <w:bidi w:val="0"/>
        <w:spacing w:after="120" w:line="300" w:lineRule="auto"/>
        <w:ind w:left="454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Below stages shall be followed:</w:t>
      </w:r>
    </w:p>
    <w:p w14:paraId="2B90013E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Preliminary cleaning</w:t>
      </w:r>
    </w:p>
    <w:p w14:paraId="4E8C7A05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Degreasing</w:t>
      </w:r>
    </w:p>
    <w:p w14:paraId="7E31EB21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60" w:line="259" w:lineRule="auto"/>
        <w:contextualSpacing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Preliminary testing</w:t>
      </w:r>
    </w:p>
    <w:p w14:paraId="5C163E9B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Rinsing with water</w:t>
      </w:r>
    </w:p>
    <w:p w14:paraId="5C6CB69E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Chemical pickling</w:t>
      </w:r>
    </w:p>
    <w:p w14:paraId="51A6C455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Rinsing with water</w:t>
      </w:r>
    </w:p>
    <w:p w14:paraId="05C6D12A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Passivation</w:t>
      </w:r>
    </w:p>
    <w:p w14:paraId="3752FB65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Rinsing with water</w:t>
      </w:r>
    </w:p>
    <w:p w14:paraId="058321F2" w14:textId="77777777" w:rsidR="008F1F0D" w:rsidRPr="008F1F0D" w:rsidRDefault="008F1F0D" w:rsidP="008F1F0D">
      <w:pPr>
        <w:numPr>
          <w:ilvl w:val="0"/>
          <w:numId w:val="22"/>
        </w:numPr>
        <w:bidi w:val="0"/>
        <w:spacing w:after="120" w:line="259" w:lineRule="auto"/>
        <w:ind w:hanging="357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Drying</w:t>
      </w:r>
    </w:p>
    <w:p w14:paraId="12B9E2A3" w14:textId="77777777" w:rsidR="008F1F0D" w:rsidRPr="008F1F0D" w:rsidRDefault="008F1F0D" w:rsidP="008F1F0D">
      <w:pPr>
        <w:keepNext/>
        <w:numPr>
          <w:ilvl w:val="1"/>
          <w:numId w:val="23"/>
        </w:numPr>
        <w:tabs>
          <w:tab w:val="left" w:pos="993"/>
        </w:tabs>
        <w:bidi w:val="0"/>
        <w:spacing w:before="240" w:after="120" w:line="259" w:lineRule="auto"/>
        <w:ind w:left="851" w:hanging="491"/>
        <w:outlineLvl w:val="1"/>
        <w:rPr>
          <w:rFonts w:eastAsia="Arial" w:cs="Times New Roman"/>
          <w:b/>
          <w:bCs/>
          <w:sz w:val="26"/>
          <w:szCs w:val="26"/>
          <w:lang w:bidi="fa-IR"/>
        </w:rPr>
      </w:pPr>
      <w:bookmarkStart w:id="5" w:name="_Toc115282709"/>
      <w:r w:rsidRPr="008F1F0D">
        <w:rPr>
          <w:rFonts w:eastAsia="Arial" w:cs="Times New Roman"/>
          <w:b/>
          <w:bCs/>
          <w:sz w:val="26"/>
          <w:szCs w:val="26"/>
          <w:lang w:bidi="fa-IR"/>
        </w:rPr>
        <w:t>Preliminary cleaning</w:t>
      </w:r>
      <w:bookmarkEnd w:id="5"/>
    </w:p>
    <w:p w14:paraId="003830A8" w14:textId="77777777" w:rsidR="008F1F0D" w:rsidRPr="008F1F0D" w:rsidRDefault="008F1F0D" w:rsidP="008F1F0D">
      <w:pPr>
        <w:bidi w:val="0"/>
        <w:spacing w:after="120" w:line="300" w:lineRule="auto"/>
        <w:ind w:left="709"/>
        <w:jc w:val="both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The dust, chips and other coarse contaminants shall be removed by high pressure water, compressed air blowing or mechanical brushing.</w:t>
      </w:r>
    </w:p>
    <w:p w14:paraId="06AF3B4E" w14:textId="77777777" w:rsidR="008F1F0D" w:rsidRPr="008F1F0D" w:rsidRDefault="008F1F0D" w:rsidP="008F1F0D">
      <w:pPr>
        <w:keepNext/>
        <w:numPr>
          <w:ilvl w:val="1"/>
          <w:numId w:val="23"/>
        </w:numPr>
        <w:tabs>
          <w:tab w:val="left" w:pos="993"/>
        </w:tabs>
        <w:bidi w:val="0"/>
        <w:spacing w:before="240" w:after="120" w:line="259" w:lineRule="auto"/>
        <w:ind w:left="851" w:hanging="491"/>
        <w:outlineLvl w:val="1"/>
        <w:rPr>
          <w:rFonts w:eastAsia="Arial" w:cs="Times New Roman"/>
          <w:b/>
          <w:bCs/>
          <w:sz w:val="26"/>
          <w:szCs w:val="26"/>
          <w:lang w:bidi="fa-IR"/>
        </w:rPr>
      </w:pPr>
      <w:bookmarkStart w:id="6" w:name="_Toc115282710"/>
      <w:r w:rsidRPr="008F1F0D">
        <w:rPr>
          <w:rFonts w:eastAsia="Arial" w:cs="Times New Roman"/>
          <w:b/>
          <w:bCs/>
          <w:sz w:val="26"/>
          <w:szCs w:val="26"/>
          <w:lang w:bidi="fa-IR"/>
        </w:rPr>
        <w:t>Degreasing</w:t>
      </w:r>
      <w:bookmarkEnd w:id="6"/>
    </w:p>
    <w:p w14:paraId="0B82E181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Degreasing shall be carried out with liquid thinner or emulsions.</w:t>
      </w:r>
    </w:p>
    <w:p w14:paraId="3711BC44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val="x-none" w:eastAsia="x-none" w:bidi="fa-IR"/>
        </w:rPr>
      </w:pPr>
      <w:r w:rsidRPr="008F1F0D">
        <w:rPr>
          <w:rFonts w:eastAsia="Arial" w:cs="Times New Roman"/>
          <w:sz w:val="22"/>
          <w:szCs w:val="22"/>
          <w:lang w:val="x-none" w:eastAsia="x-none" w:bidi="fa-IR"/>
        </w:rPr>
        <w:t>All surface shall be degreased with thinner cotton cloth, the emulsions shall be applied on surface with cotton cloths.</w:t>
      </w:r>
    </w:p>
    <w:p w14:paraId="3E703FF1" w14:textId="77777777" w:rsidR="008F1F0D" w:rsidRPr="008F1F0D" w:rsidRDefault="008F1F0D" w:rsidP="008F1F0D">
      <w:pPr>
        <w:keepNext/>
        <w:numPr>
          <w:ilvl w:val="1"/>
          <w:numId w:val="23"/>
        </w:numPr>
        <w:tabs>
          <w:tab w:val="left" w:pos="993"/>
        </w:tabs>
        <w:bidi w:val="0"/>
        <w:spacing w:before="240" w:after="120" w:line="259" w:lineRule="auto"/>
        <w:ind w:left="851" w:hanging="491"/>
        <w:outlineLvl w:val="1"/>
        <w:rPr>
          <w:rFonts w:eastAsia="Arial" w:cs="Times New Roman"/>
          <w:b/>
          <w:bCs/>
          <w:sz w:val="26"/>
          <w:szCs w:val="26"/>
          <w:lang w:bidi="fa-IR"/>
        </w:rPr>
      </w:pPr>
      <w:bookmarkStart w:id="7" w:name="_Toc115282711"/>
      <w:r w:rsidRPr="008F1F0D">
        <w:rPr>
          <w:rFonts w:eastAsia="Arial" w:cs="Times New Roman"/>
          <w:b/>
          <w:bCs/>
          <w:sz w:val="26"/>
          <w:szCs w:val="26"/>
          <w:lang w:bidi="fa-IR"/>
        </w:rPr>
        <w:t>Preliminary testing</w:t>
      </w:r>
      <w:bookmarkEnd w:id="7"/>
    </w:p>
    <w:p w14:paraId="7351DF2F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bidi="fa-IR"/>
        </w:rPr>
      </w:pPr>
      <w:r w:rsidRPr="008F1F0D">
        <w:rPr>
          <w:rFonts w:eastAsia="Arial" w:cs="Times New Roman"/>
          <w:sz w:val="22"/>
          <w:szCs w:val="22"/>
          <w:lang w:bidi="fa-IR"/>
        </w:rPr>
        <w:t xml:space="preserve">In 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>order</w:t>
      </w:r>
      <w:r w:rsidRPr="008F1F0D">
        <w:rPr>
          <w:rFonts w:eastAsia="Arial" w:cs="Times New Roman"/>
          <w:sz w:val="22"/>
          <w:szCs w:val="22"/>
          <w:lang w:bidi="fa-IR"/>
        </w:rPr>
        <w:t xml:space="preserve"> to make sure that the prepared chemical is not detrimental to the weld and base metals, first, it shall be tested on a test plate and weld line. If the results are satisfactory and it causes no damage, the prepared chemical can be used in large</w:t>
      </w:r>
      <w:r w:rsidRPr="008F1F0D">
        <w:rPr>
          <w:rFonts w:eastAsia="Arial" w:cs="Times New Roman"/>
          <w:sz w:val="22"/>
          <w:szCs w:val="22"/>
          <w:lang w:val="x-none" w:eastAsia="x-none" w:bidi="fa-IR"/>
        </w:rPr>
        <w:t xml:space="preserve"> </w:t>
      </w:r>
      <w:r w:rsidRPr="008F1F0D">
        <w:rPr>
          <w:rFonts w:eastAsia="Arial" w:cs="Times New Roman"/>
          <w:sz w:val="22"/>
          <w:szCs w:val="22"/>
          <w:lang w:bidi="fa-IR"/>
        </w:rPr>
        <w:t>scale. However, if solution causes chemical damage, the records of results and newly proposed composition shall be issued to client for approval.</w:t>
      </w:r>
    </w:p>
    <w:p w14:paraId="26EBF7BA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bidi="fa-IR"/>
        </w:rPr>
      </w:pPr>
    </w:p>
    <w:p w14:paraId="50827D0F" w14:textId="77777777" w:rsidR="008F1F0D" w:rsidRPr="008F1F0D" w:rsidRDefault="008F1F0D" w:rsidP="008F1F0D">
      <w:pPr>
        <w:bidi w:val="0"/>
        <w:spacing w:after="120" w:line="300" w:lineRule="auto"/>
        <w:ind w:left="454"/>
        <w:jc w:val="both"/>
        <w:rPr>
          <w:rFonts w:eastAsia="Arial" w:cs="Times New Roman"/>
          <w:sz w:val="22"/>
          <w:szCs w:val="22"/>
          <w:lang w:bidi="fa-IR"/>
        </w:rPr>
      </w:pPr>
    </w:p>
    <w:p w14:paraId="39048E21" w14:textId="77777777" w:rsidR="008F1F0D" w:rsidRPr="008F1F0D" w:rsidRDefault="008F1F0D" w:rsidP="008F1F0D">
      <w:pPr>
        <w:keepNext/>
        <w:numPr>
          <w:ilvl w:val="1"/>
          <w:numId w:val="23"/>
        </w:numPr>
        <w:tabs>
          <w:tab w:val="left" w:pos="993"/>
        </w:tabs>
        <w:bidi w:val="0"/>
        <w:spacing w:before="240" w:after="120" w:line="259" w:lineRule="auto"/>
        <w:ind w:left="851" w:hanging="491"/>
        <w:outlineLvl w:val="1"/>
        <w:rPr>
          <w:rFonts w:eastAsia="Arial" w:cs="Times New Roman"/>
          <w:b/>
          <w:bCs/>
          <w:sz w:val="26"/>
          <w:szCs w:val="26"/>
          <w:lang w:val="en-GB" w:bidi="fa-IR"/>
        </w:rPr>
      </w:pPr>
      <w:bookmarkStart w:id="8" w:name="_Toc102909607"/>
      <w:bookmarkStart w:id="9" w:name="_Hlk172980978"/>
      <w:bookmarkStart w:id="10" w:name="_Toc184635541"/>
      <w:r w:rsidRPr="008F1F0D">
        <w:rPr>
          <w:rFonts w:eastAsia="Arial" w:cs="Times New Roman"/>
          <w:b/>
          <w:bCs/>
          <w:sz w:val="26"/>
          <w:szCs w:val="26"/>
          <w:lang w:val="en-GB" w:bidi="fa-IR"/>
        </w:rPr>
        <w:t>Pickling</w:t>
      </w:r>
      <w:bookmarkEnd w:id="8"/>
      <w:r w:rsidRPr="008F1F0D">
        <w:rPr>
          <w:rFonts w:eastAsia="Arial" w:cs="Times New Roman"/>
          <w:b/>
          <w:bCs/>
          <w:sz w:val="26"/>
          <w:szCs w:val="26"/>
          <w:lang w:val="en-GB" w:bidi="fa-IR"/>
        </w:rPr>
        <w:t xml:space="preserve"> &amp; Passivation</w:t>
      </w:r>
      <w:bookmarkEnd w:id="9"/>
      <w:bookmarkEnd w:id="10"/>
    </w:p>
    <w:p w14:paraId="7ECD5995" w14:textId="77777777" w:rsidR="008F1F0D" w:rsidRPr="008F1F0D" w:rsidRDefault="008F1F0D" w:rsidP="008F1F0D">
      <w:pPr>
        <w:bidi w:val="0"/>
        <w:spacing w:after="100" w:line="259" w:lineRule="auto"/>
        <w:ind w:left="567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Chemical composition of acid shall be used as follow: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393"/>
        <w:gridCol w:w="1766"/>
        <w:gridCol w:w="1599"/>
      </w:tblGrid>
      <w:tr w:rsidR="008F1F0D" w:rsidRPr="008F1F0D" w14:paraId="4B7E76A3" w14:textId="77777777" w:rsidTr="00857E09">
        <w:trPr>
          <w:trHeight w:val="43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26F2A1EA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8F1F0D">
              <w:rPr>
                <w:rFonts w:eastAsia="Calibri" w:cs="Times New Roman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3393" w:type="dxa"/>
            <w:shd w:val="clear" w:color="auto" w:fill="D9D9D9"/>
            <w:vAlign w:val="center"/>
          </w:tcPr>
          <w:p w14:paraId="453A605B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8F1F0D">
              <w:rPr>
                <w:rFonts w:eastAsia="Calibri" w:cs="Times New Roman"/>
                <w:b/>
                <w:bCs/>
                <w:sz w:val="22"/>
                <w:szCs w:val="22"/>
              </w:rPr>
              <w:t>Composition (Vol.%)</w:t>
            </w:r>
          </w:p>
        </w:tc>
        <w:tc>
          <w:tcPr>
            <w:tcW w:w="1766" w:type="dxa"/>
            <w:shd w:val="clear" w:color="auto" w:fill="D9D9D9"/>
            <w:vAlign w:val="center"/>
          </w:tcPr>
          <w:p w14:paraId="6B8F4E6F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8F1F0D">
              <w:rPr>
                <w:rFonts w:eastAsia="Calibri" w:cs="Times New Roman"/>
                <w:b/>
                <w:bCs/>
                <w:sz w:val="22"/>
                <w:szCs w:val="22"/>
              </w:rPr>
              <w:t>Temperature (˚C)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C0EE2F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8F1F0D">
              <w:rPr>
                <w:rFonts w:eastAsia="Calibri" w:cs="Times New Roman"/>
                <w:b/>
                <w:bCs/>
                <w:sz w:val="22"/>
                <w:szCs w:val="22"/>
              </w:rPr>
              <w:t>Time (min)</w:t>
            </w:r>
          </w:p>
        </w:tc>
      </w:tr>
      <w:tr w:rsidR="008F1F0D" w:rsidRPr="008F1F0D" w14:paraId="701B663F" w14:textId="77777777" w:rsidTr="00857E09">
        <w:trPr>
          <w:trHeight w:val="13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9A24E7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Pickling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D869C05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First phase:</w:t>
            </w:r>
          </w:p>
          <w:p w14:paraId="201C2716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Nitric acid 15 to 25</w:t>
            </w:r>
            <w:r w:rsidRPr="008F1F0D">
              <w:rPr>
                <w:rFonts w:eastAsia="Calibri" w:cs="Times New Roman"/>
                <w:sz w:val="22"/>
                <w:szCs w:val="22"/>
                <w:rtl/>
              </w:rPr>
              <w:t>%</w:t>
            </w:r>
          </w:p>
          <w:p w14:paraId="73144477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Hydrofluoric acid 1 to 8%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B938263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20-60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E053B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As necessary</w:t>
            </w:r>
          </w:p>
        </w:tc>
      </w:tr>
      <w:tr w:rsidR="008F1F0D" w:rsidRPr="008F1F0D" w14:paraId="66AD38CC" w14:textId="77777777" w:rsidTr="00857E09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2E7978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Passivation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1FF6D0BB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Nitric acid 20-50%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AB24B22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50-70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92FD9" w14:textId="77777777" w:rsidR="008F1F0D" w:rsidRPr="008F1F0D" w:rsidRDefault="008F1F0D" w:rsidP="008F1F0D">
            <w:pPr>
              <w:overflowPunct w:val="0"/>
              <w:autoSpaceDE w:val="0"/>
              <w:autoSpaceDN w:val="0"/>
              <w:bidi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 w:cs="Times New Roman"/>
                <w:sz w:val="22"/>
                <w:szCs w:val="22"/>
              </w:rPr>
            </w:pPr>
            <w:r w:rsidRPr="008F1F0D">
              <w:rPr>
                <w:rFonts w:eastAsia="Calibri" w:cs="Times New Roman"/>
                <w:sz w:val="22"/>
                <w:szCs w:val="22"/>
              </w:rPr>
              <w:t>10-30</w:t>
            </w:r>
          </w:p>
        </w:tc>
      </w:tr>
    </w:tbl>
    <w:p w14:paraId="1E68E751" w14:textId="77777777" w:rsidR="008F1F0D" w:rsidRPr="008F1F0D" w:rsidRDefault="008F1F0D" w:rsidP="008F1F0D">
      <w:pPr>
        <w:bidi w:val="0"/>
        <w:spacing w:after="160" w:line="259" w:lineRule="auto"/>
        <w:ind w:left="567"/>
        <w:rPr>
          <w:rFonts w:eastAsia="Calibri" w:cs="Times New Roman"/>
          <w:sz w:val="22"/>
          <w:szCs w:val="22"/>
        </w:rPr>
      </w:pPr>
    </w:p>
    <w:p w14:paraId="397ED5E8" w14:textId="77777777" w:rsidR="008F1F0D" w:rsidRPr="008F1F0D" w:rsidRDefault="008F1F0D" w:rsidP="008F1F0D">
      <w:pPr>
        <w:bidi w:val="0"/>
        <w:spacing w:after="100" w:line="259" w:lineRule="auto"/>
        <w:ind w:left="567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Solution prepared from reagents of following weight %: H</w:t>
      </w:r>
      <w:r w:rsidRPr="008F1F0D">
        <w:rPr>
          <w:rFonts w:eastAsia="Calibri" w:cs="Times New Roman"/>
          <w:sz w:val="22"/>
          <w:szCs w:val="22"/>
          <w:vertAlign w:val="subscript"/>
        </w:rPr>
        <w:t>2</w:t>
      </w:r>
      <w:r w:rsidRPr="008F1F0D">
        <w:rPr>
          <w:rFonts w:eastAsia="Calibri" w:cs="Times New Roman"/>
          <w:sz w:val="22"/>
          <w:szCs w:val="22"/>
        </w:rPr>
        <w:t>SO4, 98%; HNO3, 67%; HF, 70%.</w:t>
      </w:r>
    </w:p>
    <w:p w14:paraId="51E10A0F" w14:textId="77777777" w:rsidR="008F1F0D" w:rsidRPr="008F1F0D" w:rsidRDefault="008F1F0D" w:rsidP="008F1F0D">
      <w:pPr>
        <w:bidi w:val="0"/>
        <w:spacing w:after="100" w:line="259" w:lineRule="auto"/>
        <w:ind w:left="567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Passivation shall be done as soon as the rinsing finished after pickling.</w:t>
      </w:r>
    </w:p>
    <w:p w14:paraId="414BC70D" w14:textId="77777777" w:rsidR="008F1F0D" w:rsidRPr="008F1F0D" w:rsidRDefault="008F1F0D" w:rsidP="008F1F0D">
      <w:pPr>
        <w:bidi w:val="0"/>
        <w:spacing w:after="100" w:line="259" w:lineRule="auto"/>
        <w:ind w:left="567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 xml:space="preserve">After passivation a careful washing shall be done with water in accordance with paragraph 4.1, in order to remove any acid solution from surface. </w:t>
      </w:r>
    </w:p>
    <w:p w14:paraId="13202341" w14:textId="77777777" w:rsidR="008F1F0D" w:rsidRPr="008F1F0D" w:rsidRDefault="008F1F0D" w:rsidP="008F1F0D">
      <w:pPr>
        <w:bidi w:val="0"/>
        <w:spacing w:after="100" w:line="259" w:lineRule="auto"/>
        <w:ind w:left="567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Finally, the surface will be dried with compressed air.</w:t>
      </w:r>
    </w:p>
    <w:p w14:paraId="52F52CCF" w14:textId="77777777" w:rsidR="008F1F0D" w:rsidRPr="008F1F0D" w:rsidRDefault="008F1F0D" w:rsidP="008F1F0D">
      <w:pPr>
        <w:numPr>
          <w:ilvl w:val="0"/>
          <w:numId w:val="23"/>
        </w:numPr>
        <w:bidi w:val="0"/>
        <w:spacing w:after="120" w:line="300" w:lineRule="auto"/>
        <w:rPr>
          <w:rFonts w:eastAsia="Arial" w:cs="Times New Roman"/>
          <w:b/>
          <w:bCs/>
          <w:sz w:val="24"/>
          <w:lang w:val="x-none" w:eastAsia="x-none" w:bidi="fa-IR"/>
        </w:rPr>
      </w:pPr>
      <w:bookmarkStart w:id="11" w:name="_Toc115282713"/>
      <w:r w:rsidRPr="008F1F0D">
        <w:rPr>
          <w:rFonts w:eastAsia="Arial" w:cs="Times New Roman"/>
          <w:b/>
          <w:bCs/>
          <w:sz w:val="24"/>
          <w:lang w:val="x-none" w:eastAsia="x-none" w:bidi="fa-IR"/>
        </w:rPr>
        <w:t>Sample of test report</w:t>
      </w:r>
      <w:bookmarkEnd w:id="11"/>
    </w:p>
    <w:p w14:paraId="22C4E3E2" w14:textId="77777777" w:rsidR="008F1F0D" w:rsidRPr="008F1F0D" w:rsidRDefault="008F1F0D" w:rsidP="008F1F0D">
      <w:pPr>
        <w:bidi w:val="0"/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sz w:val="22"/>
          <w:szCs w:val="22"/>
        </w:rPr>
        <w:t>Refer to attachment.</w:t>
      </w:r>
    </w:p>
    <w:p w14:paraId="7667110B" w14:textId="77777777" w:rsidR="008F1F0D" w:rsidRPr="008F1F0D" w:rsidRDefault="008F1F0D" w:rsidP="008F1F0D">
      <w:pPr>
        <w:bidi w:val="0"/>
        <w:spacing w:after="160" w:line="259" w:lineRule="auto"/>
        <w:rPr>
          <w:rFonts w:eastAsia="Calibri" w:cs="Times New Roman"/>
          <w:sz w:val="22"/>
          <w:szCs w:val="22"/>
        </w:rPr>
      </w:pPr>
      <w:r w:rsidRPr="008F1F0D">
        <w:rPr>
          <w:rFonts w:eastAsia="Calibri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B05B8D2" wp14:editId="55904ACC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5400040" cy="7118350"/>
            <wp:effectExtent l="0" t="0" r="0" b="635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C104" w14:textId="77777777" w:rsidR="008F1F0D" w:rsidRDefault="008F1F0D" w:rsidP="008F1F0D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sectPr w:rsidR="008F1F0D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BC6E" w14:textId="77777777" w:rsidR="00C74AB7" w:rsidRDefault="00C74AB7" w:rsidP="00053F8D">
      <w:r>
        <w:separator/>
      </w:r>
    </w:p>
  </w:endnote>
  <w:endnote w:type="continuationSeparator" w:id="0">
    <w:p w14:paraId="1511B867" w14:textId="77777777" w:rsidR="00C74AB7" w:rsidRDefault="00C74AB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9BB6" w14:textId="77777777" w:rsidR="00C74AB7" w:rsidRDefault="00C74AB7" w:rsidP="00053F8D">
      <w:r>
        <w:separator/>
      </w:r>
    </w:p>
  </w:footnote>
  <w:footnote w:type="continuationSeparator" w:id="0">
    <w:p w14:paraId="2E6A075C" w14:textId="77777777" w:rsidR="00C74AB7" w:rsidRDefault="00C74AB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1EA611EF" w:rsidR="003226E7" w:rsidRPr="00ED37F3" w:rsidRDefault="007B2384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DD83D1D" wp14:editId="43EE0E44">
                <wp:extent cx="1261745" cy="8293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بسته نم زدای گاز ایستگاه تقویت فشار گاز بینک </w:t>
          </w:r>
        </w:p>
        <w:p w14:paraId="27AD17A8" w14:textId="74242B9F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BK-HD-GCS-CO-0010_08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0A59E258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8F1F0D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7</w:t>
          </w:r>
        </w:p>
      </w:tc>
      <w:tc>
        <w:tcPr>
          <w:tcW w:w="5868" w:type="dxa"/>
          <w:gridSpan w:val="8"/>
          <w:vAlign w:val="center"/>
        </w:tcPr>
        <w:p w14:paraId="3472A53A" w14:textId="21C70888" w:rsidR="003226E7" w:rsidRPr="00930FE9" w:rsidRDefault="002005EA" w:rsidP="00930FE9">
          <w:pPr>
            <w:bidi w:val="0"/>
            <w:jc w:val="center"/>
            <w:rPr>
              <w:rFonts w:cs="Times New Roman"/>
              <w:b/>
              <w:bCs/>
            </w:rPr>
          </w:pPr>
          <w:r w:rsidRPr="002005EA">
            <w:rPr>
              <w:rStyle w:val="fontstyle01"/>
              <w:b/>
              <w:bCs/>
            </w:rPr>
            <w:t>PICKLING AND PASSIVATION PROCEDURE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49BF156" w:rsidR="003226E7" w:rsidRPr="007B6EBF" w:rsidRDefault="009616C1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502CFB" w:rsidR="003226E7" w:rsidRPr="007B6EBF" w:rsidRDefault="002005E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34CC1352" w:rsidR="003226E7" w:rsidRPr="007B6EBF" w:rsidRDefault="004936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2E410D73" w:rsidR="003226E7" w:rsidRPr="007B6EBF" w:rsidRDefault="004936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61615F91" w:rsidR="003226E7" w:rsidRPr="007B6EBF" w:rsidRDefault="0025314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MF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EF0"/>
    <w:multiLevelType w:val="hybridMultilevel"/>
    <w:tmpl w:val="8AFC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601E"/>
    <w:multiLevelType w:val="hybridMultilevel"/>
    <w:tmpl w:val="630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73E7507"/>
    <w:multiLevelType w:val="multilevel"/>
    <w:tmpl w:val="5AFE4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C5E3AE3"/>
    <w:multiLevelType w:val="hybridMultilevel"/>
    <w:tmpl w:val="C94A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361EF"/>
    <w:multiLevelType w:val="hybridMultilevel"/>
    <w:tmpl w:val="9A9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326B"/>
    <w:multiLevelType w:val="hybridMultilevel"/>
    <w:tmpl w:val="D2CA3F6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D67AB"/>
    <w:multiLevelType w:val="hybridMultilevel"/>
    <w:tmpl w:val="BA50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DA1B4C"/>
    <w:multiLevelType w:val="multilevel"/>
    <w:tmpl w:val="BAACC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59171502">
    <w:abstractNumId w:val="8"/>
  </w:num>
  <w:num w:numId="2" w16cid:durableId="1530802679">
    <w:abstractNumId w:val="17"/>
  </w:num>
  <w:num w:numId="3" w16cid:durableId="764616674">
    <w:abstractNumId w:val="13"/>
  </w:num>
  <w:num w:numId="4" w16cid:durableId="298002776">
    <w:abstractNumId w:val="14"/>
  </w:num>
  <w:num w:numId="5" w16cid:durableId="1725056611">
    <w:abstractNumId w:val="7"/>
  </w:num>
  <w:num w:numId="6" w16cid:durableId="1236861889">
    <w:abstractNumId w:val="6"/>
  </w:num>
  <w:num w:numId="7" w16cid:durableId="1376737339">
    <w:abstractNumId w:val="3"/>
  </w:num>
  <w:num w:numId="8" w16cid:durableId="246233237">
    <w:abstractNumId w:val="8"/>
  </w:num>
  <w:num w:numId="9" w16cid:durableId="1787116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17713">
    <w:abstractNumId w:val="8"/>
  </w:num>
  <w:num w:numId="11" w16cid:durableId="2107772642">
    <w:abstractNumId w:val="8"/>
  </w:num>
  <w:num w:numId="12" w16cid:durableId="1126836">
    <w:abstractNumId w:val="5"/>
  </w:num>
  <w:num w:numId="13" w16cid:durableId="1820416807">
    <w:abstractNumId w:val="1"/>
  </w:num>
  <w:num w:numId="14" w16cid:durableId="1979601755">
    <w:abstractNumId w:val="10"/>
  </w:num>
  <w:num w:numId="15" w16cid:durableId="1631519113">
    <w:abstractNumId w:val="15"/>
  </w:num>
  <w:num w:numId="16" w16cid:durableId="37823138">
    <w:abstractNumId w:val="18"/>
  </w:num>
  <w:num w:numId="17" w16cid:durableId="222330305">
    <w:abstractNumId w:val="0"/>
  </w:num>
  <w:num w:numId="18" w16cid:durableId="33892701">
    <w:abstractNumId w:val="11"/>
  </w:num>
  <w:num w:numId="19" w16cid:durableId="793796391">
    <w:abstractNumId w:val="2"/>
  </w:num>
  <w:num w:numId="20" w16cid:durableId="1890729033">
    <w:abstractNumId w:val="16"/>
  </w:num>
  <w:num w:numId="21" w16cid:durableId="965893958">
    <w:abstractNumId w:val="9"/>
  </w:num>
  <w:num w:numId="22" w16cid:durableId="10032071">
    <w:abstractNumId w:val="12"/>
  </w:num>
  <w:num w:numId="23" w16cid:durableId="9918346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41AE"/>
    <w:rsid w:val="001941F4"/>
    <w:rsid w:val="0019579A"/>
    <w:rsid w:val="00196407"/>
    <w:rsid w:val="001A0B36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5EA"/>
    <w:rsid w:val="00202F81"/>
    <w:rsid w:val="00206A35"/>
    <w:rsid w:val="0022151F"/>
    <w:rsid w:val="00226297"/>
    <w:rsid w:val="00231A23"/>
    <w:rsid w:val="00236DB2"/>
    <w:rsid w:val="00243C9C"/>
    <w:rsid w:val="0025314A"/>
    <w:rsid w:val="002539AC"/>
    <w:rsid w:val="002545B8"/>
    <w:rsid w:val="00257024"/>
    <w:rsid w:val="00257A8D"/>
    <w:rsid w:val="00257D24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114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367E"/>
    <w:rsid w:val="00495A5D"/>
    <w:rsid w:val="004A2C4F"/>
    <w:rsid w:val="004A3F9E"/>
    <w:rsid w:val="004A45EF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A1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5F62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0354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D53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1F0D"/>
    <w:rsid w:val="008F5BA6"/>
    <w:rsid w:val="008F7539"/>
    <w:rsid w:val="008F76EE"/>
    <w:rsid w:val="00912FFC"/>
    <w:rsid w:val="00914E3E"/>
    <w:rsid w:val="00915C34"/>
    <w:rsid w:val="009204DD"/>
    <w:rsid w:val="009230C2"/>
    <w:rsid w:val="00923245"/>
    <w:rsid w:val="009242FA"/>
    <w:rsid w:val="00924C28"/>
    <w:rsid w:val="00930FE9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6C1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2A09"/>
    <w:rsid w:val="009B328B"/>
    <w:rsid w:val="009B350E"/>
    <w:rsid w:val="009B6BE8"/>
    <w:rsid w:val="009B70B5"/>
    <w:rsid w:val="009C1887"/>
    <w:rsid w:val="009C1E72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63E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103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368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708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3F9D"/>
    <w:rsid w:val="00C67515"/>
    <w:rsid w:val="00C7134C"/>
    <w:rsid w:val="00C71535"/>
    <w:rsid w:val="00C71831"/>
    <w:rsid w:val="00C72D73"/>
    <w:rsid w:val="00C7494E"/>
    <w:rsid w:val="00C74AB7"/>
    <w:rsid w:val="00C74CA3"/>
    <w:rsid w:val="00C74CE8"/>
    <w:rsid w:val="00C82D74"/>
    <w:rsid w:val="00C879FF"/>
    <w:rsid w:val="00C87B79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426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3BA0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FF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93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368"/>
    <w:pPr>
      <w:keepLines/>
      <w:bidi/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fontstyle01">
    <w:name w:val="fontstyle01"/>
    <w:basedOn w:val="DefaultParagraphFont"/>
    <w:rsid w:val="00B40368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F1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F0D"/>
    <w:rPr>
      <w:rFonts w:ascii="Times New Roman" w:eastAsia="Times New Roman" w:hAnsi="Times New Roman" w:cs="Traditional Arabic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F1F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B50E-943C-4C34-B11C-97EF49B5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4844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</cp:revision>
  <cp:lastPrinted>2023-06-20T15:00:00Z</cp:lastPrinted>
  <dcterms:created xsi:type="dcterms:W3CDTF">2025-03-16T06:14:00Z</dcterms:created>
  <dcterms:modified xsi:type="dcterms:W3CDTF">2025-04-06T06:57:00Z</dcterms:modified>
</cp:coreProperties>
</file>